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宋体"/>
          <w:b/>
          <w:sz w:val="32"/>
          <w:szCs w:val="32"/>
        </w:rPr>
      </w:pPr>
      <w:r>
        <w:rPr>
          <w:rFonts w:hint="eastAsia" w:ascii="宋体"/>
          <w:b/>
          <w:sz w:val="32"/>
          <w:szCs w:val="32"/>
          <w:lang w:eastAsia="zh-CN"/>
        </w:rPr>
        <w:t>山东省交通工程监理咨询有限公司水运工程甲级监理资质</w:t>
      </w:r>
      <w:r>
        <w:rPr>
          <w:rFonts w:hint="eastAsia" w:ascii="宋体"/>
          <w:b/>
          <w:sz w:val="32"/>
          <w:szCs w:val="32"/>
        </w:rPr>
        <w:t>复查结果公示表</w:t>
      </w:r>
      <w:bookmarkStart w:id="0" w:name="_GoBack"/>
      <w:bookmarkEnd w:id="0"/>
    </w:p>
    <w:tbl>
      <w:tblPr>
        <w:tblStyle w:val="6"/>
        <w:tblW w:w="13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3368"/>
        <w:gridCol w:w="1940"/>
        <w:gridCol w:w="1701"/>
        <w:gridCol w:w="6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序号</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复查内容</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复查合格标准</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lang w:eastAsia="zh-CN"/>
              </w:rPr>
              <w:t>审查</w:t>
            </w:r>
            <w:r>
              <w:rPr>
                <w:rFonts w:hint="eastAsia" w:ascii="仿宋_GB2312" w:hAnsi="宋体" w:eastAsia="仿宋_GB2312" w:cs="宋体"/>
                <w:b/>
                <w:kern w:val="0"/>
                <w:sz w:val="18"/>
                <w:szCs w:val="18"/>
              </w:rPr>
              <w:t>意见</w:t>
            </w:r>
          </w:p>
        </w:tc>
        <w:tc>
          <w:tcPr>
            <w:tcW w:w="625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企业营业执照</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有效期内 </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有效期内</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符合条件</w:t>
            </w:r>
          </w:p>
        </w:tc>
        <w:tc>
          <w:tcPr>
            <w:tcW w:w="625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营业执照在有效期内，最近1年企业年检合格；监理资质证书定期检验合格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注册资金</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≥300万 </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3000万</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符合条件</w:t>
            </w:r>
          </w:p>
        </w:tc>
        <w:tc>
          <w:tcPr>
            <w:tcW w:w="625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rPr>
                <w:rFonts w:ascii="仿宋_GB2312" w:hAnsi="宋体" w:eastAsia="仿宋_GB2312"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企业负责人（工作经历</w:t>
            </w:r>
            <w:r>
              <w:rPr>
                <w:rFonts w:ascii="仿宋_GB2312" w:hAnsi="宋体" w:eastAsia="仿宋_GB2312" w:cs="宋体"/>
                <w:kern w:val="0"/>
                <w:sz w:val="18"/>
                <w:szCs w:val="18"/>
              </w:rPr>
              <w:t>/</w:t>
            </w:r>
            <w:r>
              <w:rPr>
                <w:rFonts w:hint="eastAsia" w:ascii="仿宋_GB2312" w:hAnsi="宋体" w:eastAsia="仿宋_GB2312" w:cs="宋体"/>
                <w:kern w:val="0"/>
                <w:sz w:val="18"/>
                <w:szCs w:val="18"/>
              </w:rPr>
              <w:t>持部证情况/年龄要求）</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10年/部证/年龄＜65岁</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满足</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符合条件</w:t>
            </w:r>
          </w:p>
        </w:tc>
        <w:tc>
          <w:tcPr>
            <w:tcW w:w="6258" w:type="dxa"/>
            <w:vMerge w:val="restart"/>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企业负责人包括法人代表、经理、副经理，技术负责人包括总工、副总工。企业负责人和技术负责人须各有1人满足条件。 持部证情况指是否持交通运输部水运工程监理工程师或专业监理工程师证书（下同）。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技术负责人（相关职称/工作经历/监理经历/持部证情况/年龄要求）</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高级/15年/大型总监/部证/年龄＜65岁</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满足</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符合条件</w:t>
            </w:r>
          </w:p>
        </w:tc>
        <w:tc>
          <w:tcPr>
            <w:tcW w:w="6258" w:type="dxa"/>
            <w:vMerge w:val="continue"/>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rPr>
                <w:rFonts w:ascii="仿宋_GB2312" w:hAnsi="宋体" w:eastAsia="仿宋_GB2312"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中级职称以上人数（中级职称以上人数/签约3年以上劳动合同人数）</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≥40人/28人</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67人/67人</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color w:val="FF0000"/>
                <w:kern w:val="0"/>
                <w:sz w:val="18"/>
                <w:szCs w:val="18"/>
              </w:rPr>
            </w:pPr>
            <w:r>
              <w:rPr>
                <w:rFonts w:hint="eastAsia" w:ascii="仿宋_GB2312" w:hAnsi="宋体" w:eastAsia="仿宋_GB2312" w:cs="宋体"/>
                <w:kern w:val="0"/>
                <w:sz w:val="18"/>
                <w:szCs w:val="18"/>
              </w:rPr>
              <w:t>符合条件</w:t>
            </w:r>
          </w:p>
        </w:tc>
        <w:tc>
          <w:tcPr>
            <w:tcW w:w="625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甲、乙级企业专业包括港口、航道、工民建、测量、试验检测、合同管理等。机电专项包括机电、测量、试验检测、合同管理等。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6"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2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工程系列高工人数（高工人数/签约3年以上劳动合同人数）</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10人/7人</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31人/31人</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color w:val="0070C0"/>
                <w:kern w:val="0"/>
                <w:sz w:val="18"/>
                <w:szCs w:val="18"/>
              </w:rPr>
            </w:pPr>
            <w:r>
              <w:rPr>
                <w:rFonts w:hint="eastAsia" w:ascii="仿宋_GB2312" w:hAnsi="宋体" w:eastAsia="仿宋_GB2312" w:cs="宋体"/>
                <w:kern w:val="0"/>
                <w:sz w:val="18"/>
                <w:szCs w:val="18"/>
              </w:rPr>
              <w:t>符合条件</w:t>
            </w:r>
          </w:p>
        </w:tc>
        <w:tc>
          <w:tcPr>
            <w:tcW w:w="6258" w:type="dxa"/>
            <w:vMerge w:val="restart"/>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包括单位调动函、劳动合同或聘用合同。评审期间劳动合同已失效的人员不计入相应人数；未附劳动合同证明的人员一律视为非企业人员，不计入相应人数。未退休的部监理工程师应出具本企业为其缴纳的基本养老、基本医疗和失业保险证明（“三险”）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2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中级以上经会人数（经会人员人数/签约3年以上劳动合同人数）</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2人/1人</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4人/4人</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color w:val="0070C0"/>
                <w:kern w:val="0"/>
                <w:sz w:val="18"/>
                <w:szCs w:val="18"/>
              </w:rPr>
            </w:pPr>
            <w:r>
              <w:rPr>
                <w:rFonts w:hint="eastAsia" w:ascii="仿宋_GB2312" w:hAnsi="宋体" w:eastAsia="仿宋_GB2312" w:cs="宋体"/>
                <w:kern w:val="0"/>
                <w:sz w:val="18"/>
                <w:szCs w:val="18"/>
              </w:rPr>
              <w:t>符合条件</w:t>
            </w:r>
          </w:p>
        </w:tc>
        <w:tc>
          <w:tcPr>
            <w:tcW w:w="6258" w:type="dxa"/>
            <w:vMerge w:val="continue"/>
            <w:vAlign w:val="center"/>
          </w:tcPr>
          <w:p>
            <w:pPr>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2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持部监理工程师证人数（持部证人数/签约3年以上劳动合同且缴纳社保人数）</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≥25人/18人</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61人/61人</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color w:val="FF0000"/>
                <w:kern w:val="0"/>
                <w:sz w:val="18"/>
                <w:szCs w:val="18"/>
              </w:rPr>
            </w:pPr>
            <w:r>
              <w:rPr>
                <w:rFonts w:hint="eastAsia" w:ascii="仿宋_GB2312" w:hAnsi="宋体" w:eastAsia="仿宋_GB2312" w:cs="宋体"/>
                <w:kern w:val="0"/>
                <w:sz w:val="18"/>
                <w:szCs w:val="18"/>
              </w:rPr>
              <w:t>符合条件</w:t>
            </w:r>
          </w:p>
        </w:tc>
        <w:tc>
          <w:tcPr>
            <w:tcW w:w="6258" w:type="dxa"/>
            <w:vMerge w:val="continue"/>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主要专业的监理工程师人数</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color w:val="FF0000"/>
                <w:kern w:val="0"/>
                <w:sz w:val="18"/>
                <w:szCs w:val="18"/>
              </w:rPr>
            </w:pPr>
            <w:r>
              <w:rPr>
                <w:rFonts w:hint="eastAsia" w:ascii="仿宋_GB2312" w:hAnsi="宋体" w:eastAsia="仿宋_GB2312" w:cs="宋体"/>
                <w:kern w:val="0"/>
                <w:sz w:val="18"/>
                <w:szCs w:val="18"/>
              </w:rPr>
              <w:t>≥18人/13人（港航专业）</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30人/14人</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color w:val="FF0000"/>
                <w:kern w:val="0"/>
                <w:sz w:val="18"/>
                <w:szCs w:val="18"/>
              </w:rPr>
            </w:pPr>
            <w:r>
              <w:rPr>
                <w:rFonts w:hint="eastAsia" w:ascii="仿宋_GB2312" w:hAnsi="宋体" w:eastAsia="仿宋_GB2312" w:cs="宋体"/>
                <w:kern w:val="0"/>
                <w:sz w:val="18"/>
                <w:szCs w:val="18"/>
              </w:rPr>
              <w:t>符合条件</w:t>
            </w:r>
          </w:p>
        </w:tc>
        <w:tc>
          <w:tcPr>
            <w:tcW w:w="625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2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通信交管专业可认定为水运机电工程专业；原水下工程、道堆专业可认定为港口、航道专业。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企业业绩</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2项大型或3项中型以上（含2项大型或3项中型）监理业绩</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7项大型监理业绩</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符合条件</w:t>
            </w:r>
          </w:p>
        </w:tc>
        <w:tc>
          <w:tcPr>
            <w:tcW w:w="625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2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企业业绩指企业监理资质有效期内已完工或在建的公路水运工程监理项目，应符合已有资质的业务范围。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1.企业资质有效期内有无《公路水运工程监理企业资质定期检验和复查办法》（厅质监字【207】246号）第十条所列的行为；2.或受到有关主管部门的行政处罚，其处罚实施是否已满1年</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1无；2或行政处罚实施已满1年 </w:t>
            </w:r>
          </w:p>
        </w:tc>
        <w:tc>
          <w:tcPr>
            <w:tcW w:w="1701" w:type="dxa"/>
            <w:vAlign w:val="center"/>
          </w:tcPr>
          <w:p>
            <w:pPr>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无</w:t>
            </w:r>
          </w:p>
          <w:p>
            <w:pPr>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符合条件</w:t>
            </w:r>
          </w:p>
        </w:tc>
        <w:tc>
          <w:tcPr>
            <w:tcW w:w="625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0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定期检验和复查办法》第十条所列行为：1.因监理未履行职责，发生过一起特别重大安全事故或重大质量事故的；2.因监理未履行职责，发生过两起及以上较大安全事故或一般质量事故的；3.其他违反法律法规的行为的。规定行政处罚满</w:t>
            </w:r>
            <w:r>
              <w:rPr>
                <w:rFonts w:ascii="仿宋_GB2312" w:hAnsi="宋体" w:eastAsia="仿宋_GB2312" w:cs="宋体"/>
                <w:kern w:val="0"/>
                <w:sz w:val="18"/>
                <w:szCs w:val="18"/>
              </w:rPr>
              <w:t>1</w:t>
            </w:r>
            <w:r>
              <w:rPr>
                <w:rFonts w:hint="eastAsia" w:ascii="仿宋_GB2312" w:hAnsi="宋体" w:eastAsia="仿宋_GB2312" w:cs="宋体"/>
                <w:kern w:val="0"/>
                <w:sz w:val="18"/>
                <w:szCs w:val="18"/>
              </w:rPr>
              <w:t>年是指处罚期结束后满</w:t>
            </w:r>
            <w:r>
              <w:rPr>
                <w:rFonts w:ascii="仿宋_GB2312" w:hAnsi="宋体" w:eastAsia="仿宋_GB2312" w:cs="宋体"/>
                <w:kern w:val="0"/>
                <w:sz w:val="18"/>
                <w:szCs w:val="18"/>
              </w:rPr>
              <w:t>1</w:t>
            </w:r>
            <w:r>
              <w:rPr>
                <w:rFonts w:hint="eastAsia" w:ascii="仿宋_GB2312" w:hAnsi="宋体" w:eastAsia="仿宋_GB2312" w:cs="宋体"/>
                <w:kern w:val="0"/>
                <w:sz w:val="18"/>
                <w:szCs w:val="18"/>
              </w:rPr>
              <w:t>年，有处罚期限的按期满后一年计算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试验仪器设备</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满足</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满足</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符合条件</w:t>
            </w:r>
          </w:p>
        </w:tc>
        <w:tc>
          <w:tcPr>
            <w:tcW w:w="625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附购买发票、调拔证明、租赁合同、合资协议，或具有丙级以上试验室资质证明。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企业规章制度</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完善</w:t>
            </w:r>
          </w:p>
        </w:tc>
        <w:tc>
          <w:tcPr>
            <w:tcW w:w="1701" w:type="dxa"/>
            <w:vAlign w:val="center"/>
          </w:tcPr>
          <w:p>
            <w:pPr>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完善</w:t>
            </w:r>
          </w:p>
          <w:p>
            <w:pPr>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符合条件</w:t>
            </w:r>
          </w:p>
        </w:tc>
        <w:tc>
          <w:tcPr>
            <w:tcW w:w="6258" w:type="dxa"/>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left"/>
              <w:rPr>
                <w:rFonts w:ascii="仿宋_GB2312" w:hAnsi="宋体" w:eastAsia="仿宋_GB2312"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trPr>
        <w:tc>
          <w:tcPr>
            <w:tcW w:w="612"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14</w:t>
            </w:r>
          </w:p>
        </w:tc>
        <w:tc>
          <w:tcPr>
            <w:tcW w:w="336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主要监理人员结构</w:t>
            </w:r>
          </w:p>
        </w:tc>
        <w:tc>
          <w:tcPr>
            <w:tcW w:w="1940"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年龄＜60岁的持部证人员应≥%70</w:t>
            </w:r>
          </w:p>
        </w:tc>
        <w:tc>
          <w:tcPr>
            <w:tcW w:w="1701"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满足</w:t>
            </w:r>
          </w:p>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符合条件</w:t>
            </w:r>
          </w:p>
        </w:tc>
        <w:tc>
          <w:tcPr>
            <w:tcW w:w="6258" w:type="dxa"/>
            <w:vAlign w:val="center"/>
          </w:tcPr>
          <w:p>
            <w:pPr>
              <w:widowControl/>
              <w:tabs>
                <w:tab w:val="left" w:pos="519"/>
                <w:tab w:val="left" w:pos="935"/>
                <w:tab w:val="left" w:pos="1351"/>
                <w:tab w:val="left" w:pos="1767"/>
                <w:tab w:val="left" w:pos="2183"/>
                <w:tab w:val="left" w:pos="2599"/>
                <w:tab w:val="left" w:pos="3015"/>
                <w:tab w:val="left" w:pos="3431"/>
                <w:tab w:val="left" w:pos="3847"/>
                <w:tab w:val="left" w:pos="4263"/>
                <w:tab w:val="left" w:pos="4879"/>
                <w:tab w:val="left" w:pos="5295"/>
                <w:tab w:val="left" w:pos="5711"/>
                <w:tab w:val="left" w:pos="6127"/>
                <w:tab w:val="left" w:pos="6543"/>
                <w:tab w:val="left" w:pos="6959"/>
                <w:tab w:val="left" w:pos="7475"/>
                <w:tab w:val="left" w:pos="8091"/>
                <w:tab w:val="left" w:pos="8707"/>
                <w:tab w:val="left" w:pos="9323"/>
                <w:tab w:val="left" w:pos="9789"/>
                <w:tab w:val="left" w:pos="10255"/>
                <w:tab w:val="left" w:pos="10671"/>
                <w:tab w:val="left" w:pos="11137"/>
                <w:tab w:val="left" w:pos="11703"/>
                <w:tab w:val="left" w:pos="12219"/>
                <w:tab w:val="left" w:pos="12635"/>
                <w:tab w:val="left" w:pos="13051"/>
                <w:tab w:val="left" w:pos="13467"/>
                <w:tab w:val="left" w:pos="13883"/>
                <w:tab w:val="left" w:pos="14299"/>
                <w:tab w:val="left" w:pos="14715"/>
                <w:tab w:val="left" w:pos="15181"/>
                <w:tab w:val="left" w:pos="15597"/>
                <w:tab w:val="left" w:pos="16013"/>
                <w:tab w:val="left" w:pos="16429"/>
              </w:tabs>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持部证人员中年龄≥65岁的人员不计入持部证总人数；年龄</w:t>
            </w:r>
            <w:r>
              <w:rPr>
                <w:rFonts w:hint="eastAsia" w:ascii="宋体" w:hAnsi="宋体" w:cs="宋体"/>
                <w:kern w:val="0"/>
                <w:sz w:val="18"/>
                <w:szCs w:val="18"/>
              </w:rPr>
              <w:t>﹤</w:t>
            </w:r>
            <w:r>
              <w:rPr>
                <w:rFonts w:hint="eastAsia" w:ascii="仿宋_GB2312" w:hAnsi="宋体" w:eastAsia="仿宋_GB2312" w:cs="宋体"/>
                <w:kern w:val="0"/>
                <w:sz w:val="18"/>
                <w:szCs w:val="18"/>
              </w:rPr>
              <w:t>60岁的持部证人数应占总持部证人数的70%以上</w:t>
            </w:r>
          </w:p>
        </w:tc>
      </w:tr>
    </w:tbl>
    <w:p/>
    <w:sectPr>
      <w:headerReference r:id="rId3" w:type="default"/>
      <w:footerReference r:id="rId4" w:type="default"/>
      <w:pgSz w:w="16838" w:h="11906" w:orient="landscape"/>
      <w:pgMar w:top="907" w:right="1440" w:bottom="1134" w:left="1712"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CA4EC4"/>
    <w:rsid w:val="27EF1A31"/>
    <w:rsid w:val="4DE962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user</cp:lastModifiedBy>
  <dcterms:modified xsi:type="dcterms:W3CDTF">2018-03-30T02:56:11Z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