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600" w:lineRule="exact"/>
        <w:ind w:right="28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附件5：</w:t>
      </w:r>
    </w:p>
    <w:p>
      <w:pPr>
        <w:jc w:val="center"/>
      </w:pPr>
      <w:r>
        <w:rPr>
          <w:rFonts w:hint="eastAsia" w:ascii="宋体" w:hAnsi="宋体" w:eastAsia="宋体" w:cs="宋体"/>
          <w:b/>
          <w:sz w:val="36"/>
          <w:szCs w:val="36"/>
          <w:lang w:bidi="ar"/>
        </w:rPr>
        <w:t>科技成果登记表</w:t>
      </w:r>
    </w:p>
    <w:tbl>
      <w:tblPr>
        <w:tblStyle w:val="6"/>
        <w:tblpPr w:leftFromText="180" w:rightFromText="180" w:vertAnchor="text" w:horzAnchor="page" w:tblpXSpec="center" w:tblpY="158"/>
        <w:tblOverlap w:val="never"/>
        <w:tblW w:w="90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"/>
        <w:gridCol w:w="89"/>
        <w:gridCol w:w="913"/>
        <w:gridCol w:w="219"/>
        <w:gridCol w:w="161"/>
        <w:gridCol w:w="2183"/>
        <w:gridCol w:w="368"/>
        <w:gridCol w:w="142"/>
        <w:gridCol w:w="652"/>
        <w:gridCol w:w="1191"/>
        <w:gridCol w:w="992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成果名称</w:t>
            </w:r>
          </w:p>
        </w:tc>
        <w:tc>
          <w:tcPr>
            <w:tcW w:w="72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仿宋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高速公路不停车收费（ETC）异常预警分析研究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成果登记号</w:t>
            </w: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知识产权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0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序号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4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1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山东省交通运输厅数据应用和收费结算中心</w:t>
            </w:r>
          </w:p>
        </w:tc>
        <w:tc>
          <w:tcPr>
            <w:tcW w:w="4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山东省济南市舜耕路21号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2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山东高速股份有限公司</w:t>
            </w:r>
          </w:p>
        </w:tc>
        <w:tc>
          <w:tcPr>
            <w:tcW w:w="4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山东省济南市文化东路29号七星吉祥大厦A座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3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济南爬山虎信息技术有限公司</w:t>
            </w:r>
          </w:p>
        </w:tc>
        <w:tc>
          <w:tcPr>
            <w:tcW w:w="4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济南市历下区环山路2号鸿苑大厦19层B座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0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姓名</w:t>
            </w:r>
          </w:p>
        </w:tc>
        <w:tc>
          <w:tcPr>
            <w:tcW w:w="3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对成果的贡献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sz w:val="28"/>
                <w:szCs w:val="28"/>
                <w:lang w:bidi="ar"/>
              </w:rPr>
              <w:t>1</w:t>
            </w: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</w:rPr>
              <w:t>宋晓红</w:t>
            </w:r>
          </w:p>
        </w:tc>
        <w:tc>
          <w:tcPr>
            <w:tcW w:w="3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</w:rPr>
              <w:t>山东省交通运输厅数据应用和收费结算中心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sz w:val="28"/>
                <w:szCs w:val="28"/>
                <w:lang w:bidi="ar"/>
              </w:rPr>
              <w:t>2</w:t>
            </w: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</w:rPr>
              <w:t>周晓宇</w:t>
            </w:r>
          </w:p>
        </w:tc>
        <w:tc>
          <w:tcPr>
            <w:tcW w:w="3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山东省交通运输厅数据应用和收费结算中心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技术负责人，系统整体规划、方案设计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sz w:val="28"/>
                <w:szCs w:val="28"/>
                <w:lang w:bidi="ar"/>
              </w:rPr>
              <w:t>3</w:t>
            </w: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</w:rPr>
              <w:t>孙 浩</w:t>
            </w:r>
          </w:p>
        </w:tc>
        <w:tc>
          <w:tcPr>
            <w:tcW w:w="3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山东省交通运输厅数据应用和收费结算中心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业务调研及结算中心ETC异常预警业务分析、模型设计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仿宋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sz w:val="28"/>
                <w:szCs w:val="28"/>
                <w:lang w:bidi="ar"/>
              </w:rPr>
              <w:t>4</w:t>
            </w: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</w:rPr>
              <w:t>杨 乐</w:t>
            </w:r>
          </w:p>
        </w:tc>
        <w:tc>
          <w:tcPr>
            <w:tcW w:w="3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山东省交通运输监测与应急处置中心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参与编制结算中心ETC异常预警技术方案与效益分析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仿宋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sz w:val="28"/>
                <w:szCs w:val="28"/>
                <w:lang w:bidi="ar"/>
              </w:rPr>
              <w:t>5</w:t>
            </w: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</w:rPr>
              <w:t>张永振</w:t>
            </w:r>
          </w:p>
        </w:tc>
        <w:tc>
          <w:tcPr>
            <w:tcW w:w="3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山东省交通运输厅数据应用和收费结算中心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参与编制研发方案与性能分析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仿宋" w:asciiTheme="minorEastAsia" w:hAnsiTheme="minorEastAsia"/>
                <w:b/>
                <w:sz w:val="28"/>
                <w:szCs w:val="28"/>
                <w:lang w:bidi="ar"/>
              </w:rPr>
            </w:pPr>
            <w:r>
              <w:rPr>
                <w:rFonts w:hint="eastAsia" w:cs="仿宋" w:asciiTheme="minorEastAsia" w:hAnsiTheme="minorEastAsia"/>
                <w:b/>
                <w:sz w:val="28"/>
                <w:szCs w:val="28"/>
                <w:lang w:bidi="ar"/>
              </w:rPr>
              <w:t>6</w:t>
            </w: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</w:rPr>
              <w:t>孙兰军</w:t>
            </w:r>
          </w:p>
        </w:tc>
        <w:tc>
          <w:tcPr>
            <w:tcW w:w="3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山东省交通运输厅数据应用和收费结算中心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整体方案设计与指导、研究成果审核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仿宋" w:asciiTheme="minorEastAsia" w:hAnsiTheme="minorEastAsia"/>
                <w:b/>
                <w:sz w:val="28"/>
                <w:szCs w:val="28"/>
                <w:lang w:bidi="ar"/>
              </w:rPr>
            </w:pPr>
            <w:r>
              <w:rPr>
                <w:rFonts w:hint="eastAsia" w:cs="仿宋" w:asciiTheme="minorEastAsia" w:hAnsiTheme="minorEastAsia"/>
                <w:b/>
                <w:sz w:val="28"/>
                <w:szCs w:val="28"/>
                <w:lang w:bidi="ar"/>
              </w:rPr>
              <w:t>7</w:t>
            </w: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</w:rPr>
              <w:t>候侠</w:t>
            </w:r>
          </w:p>
        </w:tc>
        <w:tc>
          <w:tcPr>
            <w:tcW w:w="3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</w:rPr>
              <w:t>山东大成软件有限公司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实验检测研究，参与编制总结报告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仿宋" w:asciiTheme="minorEastAsia" w:hAnsiTheme="minorEastAsia"/>
                <w:b/>
                <w:sz w:val="28"/>
                <w:szCs w:val="28"/>
                <w:lang w:bidi="ar"/>
              </w:rPr>
            </w:pPr>
            <w:r>
              <w:rPr>
                <w:rFonts w:hint="eastAsia" w:cs="仿宋" w:asciiTheme="minorEastAsia" w:hAnsiTheme="minorEastAsia"/>
                <w:b/>
                <w:sz w:val="28"/>
                <w:szCs w:val="28"/>
                <w:lang w:bidi="ar"/>
              </w:rPr>
              <w:t>8</w:t>
            </w: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</w:rPr>
              <w:t>王崴</w:t>
            </w:r>
          </w:p>
        </w:tc>
        <w:tc>
          <w:tcPr>
            <w:tcW w:w="3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</w:rPr>
              <w:t>山东省交通运输监测与应急处置中心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实验检测研究，参与编制总结报告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仿宋" w:asciiTheme="minorEastAsia" w:hAnsiTheme="minorEastAsia"/>
                <w:b/>
                <w:sz w:val="28"/>
                <w:szCs w:val="28"/>
                <w:lang w:bidi="ar"/>
              </w:rPr>
            </w:pPr>
            <w:r>
              <w:rPr>
                <w:rFonts w:hint="eastAsia" w:cs="仿宋" w:asciiTheme="minorEastAsia" w:hAnsiTheme="minorEastAsia"/>
                <w:b/>
                <w:sz w:val="28"/>
                <w:szCs w:val="28"/>
                <w:lang w:bidi="ar"/>
              </w:rPr>
              <w:t>9</w:t>
            </w: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</w:rPr>
              <w:t>刘甲荣</w:t>
            </w:r>
          </w:p>
        </w:tc>
        <w:tc>
          <w:tcPr>
            <w:tcW w:w="3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</w:rPr>
              <w:t>山东高速股份有限公司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调研、指导编制研发方案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仿宋" w:asciiTheme="minorEastAsia" w:hAnsiTheme="minorEastAsia"/>
                <w:b/>
                <w:sz w:val="28"/>
                <w:szCs w:val="28"/>
                <w:lang w:bidi="ar"/>
              </w:rPr>
            </w:pPr>
            <w:r>
              <w:rPr>
                <w:rFonts w:hint="eastAsia" w:cs="仿宋" w:asciiTheme="minorEastAsia" w:hAnsiTheme="minorEastAsia"/>
                <w:b/>
                <w:sz w:val="28"/>
                <w:szCs w:val="28"/>
                <w:lang w:bidi="ar"/>
              </w:rPr>
              <w:t>10</w:t>
            </w: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</w:rPr>
              <w:t>王树兴</w:t>
            </w:r>
          </w:p>
        </w:tc>
        <w:tc>
          <w:tcPr>
            <w:tcW w:w="3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</w:rPr>
              <w:t>山东高速股份有限公司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参与项目实施，技术方案的编制及研究成果分析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仿宋" w:asciiTheme="minorEastAsia" w:hAnsiTheme="minorEastAsia"/>
                <w:b/>
                <w:sz w:val="28"/>
                <w:szCs w:val="28"/>
                <w:lang w:bidi="ar"/>
              </w:rPr>
            </w:pPr>
            <w:r>
              <w:rPr>
                <w:rFonts w:hint="eastAsia" w:cs="仿宋" w:asciiTheme="minorEastAsia" w:hAnsiTheme="minorEastAsia"/>
                <w:b/>
                <w:sz w:val="28"/>
                <w:szCs w:val="28"/>
                <w:lang w:bidi="ar"/>
              </w:rPr>
              <w:t>11</w:t>
            </w: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</w:rPr>
              <w:t>马晓刚</w:t>
            </w:r>
          </w:p>
        </w:tc>
        <w:tc>
          <w:tcPr>
            <w:tcW w:w="3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</w:rPr>
              <w:t>山东高速股份有限公司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参与项目实施，技术方案的编制及研究成果分析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仿宋" w:asciiTheme="minorEastAsia" w:hAnsiTheme="minorEastAsia"/>
                <w:b/>
                <w:sz w:val="28"/>
                <w:szCs w:val="28"/>
                <w:lang w:bidi="ar"/>
              </w:rPr>
            </w:pPr>
            <w:r>
              <w:rPr>
                <w:rFonts w:hint="eastAsia" w:cs="仿宋" w:asciiTheme="minorEastAsia" w:hAnsiTheme="minorEastAsia"/>
                <w:b/>
                <w:sz w:val="28"/>
                <w:szCs w:val="28"/>
                <w:lang w:bidi="ar"/>
              </w:rPr>
              <w:t>12</w:t>
            </w: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</w:rPr>
              <w:t>陈雪珲</w:t>
            </w:r>
          </w:p>
        </w:tc>
        <w:tc>
          <w:tcPr>
            <w:tcW w:w="3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</w:rPr>
              <w:t>山东高速股份有限公司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业务模型设计与分析，参与嵌入式智能ETC车道系统研发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仿宋" w:asciiTheme="minorEastAsia" w:hAnsiTheme="minorEastAsia"/>
                <w:b/>
                <w:sz w:val="28"/>
                <w:szCs w:val="28"/>
                <w:lang w:bidi="ar"/>
              </w:rPr>
            </w:pPr>
            <w:r>
              <w:rPr>
                <w:rFonts w:hint="eastAsia" w:cs="仿宋" w:asciiTheme="minorEastAsia" w:hAnsiTheme="minorEastAsia"/>
                <w:b/>
                <w:sz w:val="28"/>
                <w:szCs w:val="28"/>
                <w:lang w:bidi="ar"/>
              </w:rPr>
              <w:t>13</w:t>
            </w: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</w:rPr>
              <w:t>王进</w:t>
            </w:r>
          </w:p>
        </w:tc>
        <w:tc>
          <w:tcPr>
            <w:tcW w:w="3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</w:rPr>
              <w:t>山东高速股份有限公司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业务模型设计与分析，参与嵌入式智能ETC车道系统研发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仿宋" w:asciiTheme="minorEastAsia" w:hAnsiTheme="minorEastAsia"/>
                <w:b/>
                <w:sz w:val="28"/>
                <w:szCs w:val="28"/>
                <w:lang w:bidi="ar"/>
              </w:rPr>
            </w:pPr>
            <w:r>
              <w:rPr>
                <w:rFonts w:hint="eastAsia" w:cs="仿宋" w:asciiTheme="minorEastAsia" w:hAnsiTheme="minorEastAsia"/>
                <w:b/>
                <w:sz w:val="28"/>
                <w:szCs w:val="28"/>
                <w:lang w:bidi="ar"/>
              </w:rPr>
              <w:t>14</w:t>
            </w: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</w:rPr>
              <w:t>张庞</w:t>
            </w:r>
          </w:p>
        </w:tc>
        <w:tc>
          <w:tcPr>
            <w:tcW w:w="3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</w:rPr>
              <w:t>济南爬山虎信息技术有限公司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协作单位项目负责人，结算中心ETC异常预警分析软件设计与开发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仿宋" w:asciiTheme="minorEastAsia" w:hAnsiTheme="minorEastAsia"/>
                <w:b/>
                <w:sz w:val="28"/>
                <w:szCs w:val="28"/>
                <w:lang w:bidi="ar"/>
              </w:rPr>
            </w:pPr>
            <w:r>
              <w:rPr>
                <w:rFonts w:hint="eastAsia" w:cs="仿宋" w:asciiTheme="minorEastAsia" w:hAnsiTheme="minorEastAsia"/>
                <w:b/>
                <w:sz w:val="28"/>
                <w:szCs w:val="28"/>
                <w:lang w:bidi="ar"/>
              </w:rPr>
              <w:t>15</w:t>
            </w: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</w:rPr>
              <w:t>彭大海</w:t>
            </w:r>
          </w:p>
        </w:tc>
        <w:tc>
          <w:tcPr>
            <w:tcW w:w="3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</w:rPr>
              <w:t>济南爬山虎信息技术有限公司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协作单位技术负责人，嵌入式ETC预警分析车道系统设计与开发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0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成果公报内容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089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560" w:firstLineChars="2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通过高速公路ETC异常预警分析智能化预警，提前防范，降低ETC运行异常出现几率，提高运行稳定性，准确判别ETC系统各种异常情况；通过车辆不停车收费实时数据稽查分析，对采用非法拆卸OBU、跟车逃费、车型偏小逃费、换卡等逃费现象基于数据实时分析，减少利用ETC车道逃费现象；采用轨迹跟踪、逃费嫌疑分析、逃费特征模式匹配等技术，实现实时拦截，并提供取证信息；通过大数据分析出ETC用户的行为特征，针对有可能出现异常风险的用户进行提前通告、提醒，减少现场异常情况发生，提高ETC车道的通过率；对OBU发行、安装及使用过程中可能出现的问题和漏洞数据定量化模型分析、提出具体防范措施，编制完整的OBU发行、安装及使用全过程规范化的流程和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0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验收（评价)专家名单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姓名</w:t>
            </w: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单位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专业领域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sz w:val="28"/>
                <w:szCs w:val="28"/>
                <w:lang w:bidi="ar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杨美红</w:t>
            </w: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山东省计算中心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计算机应用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sz w:val="28"/>
                <w:szCs w:val="28"/>
                <w:lang w:bidi="ar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申乃和</w:t>
            </w: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山东师范大学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计算机应用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sz w:val="28"/>
                <w:szCs w:val="28"/>
                <w:lang w:bidi="ar"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周传玉</w:t>
            </w: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山东省社会信用中心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计算机应用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b/>
                <w:sz w:val="28"/>
                <w:szCs w:val="28"/>
                <w:lang w:bidi="ar"/>
              </w:rPr>
            </w:pPr>
            <w:r>
              <w:rPr>
                <w:rFonts w:hint="eastAsia" w:cs="仿宋" w:asciiTheme="minorEastAsia" w:hAnsiTheme="minorEastAsia"/>
                <w:b/>
                <w:sz w:val="28"/>
                <w:szCs w:val="28"/>
                <w:lang w:bidi="ar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阎蕾</w:t>
            </w: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齐鲁交通发展集团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通行费收费管理工作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高级经济师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b/>
                <w:sz w:val="28"/>
                <w:szCs w:val="28"/>
                <w:lang w:bidi="ar"/>
              </w:rPr>
            </w:pPr>
            <w:r>
              <w:rPr>
                <w:rFonts w:hint="eastAsia" w:cs="仿宋" w:asciiTheme="minorEastAsia" w:hAnsiTheme="minorEastAsia"/>
                <w:b/>
                <w:sz w:val="28"/>
                <w:szCs w:val="28"/>
                <w:lang w:bidi="ar"/>
              </w:rPr>
              <w:t>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常玉涛</w:t>
            </w: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齐鲁交通发展集团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道路与桥梁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b/>
                <w:sz w:val="28"/>
                <w:szCs w:val="28"/>
                <w:lang w:bidi="ar"/>
              </w:rPr>
            </w:pPr>
            <w:r>
              <w:rPr>
                <w:rFonts w:hint="eastAsia" w:cs="仿宋" w:asciiTheme="minorEastAsia" w:hAnsiTheme="minorEastAsia"/>
                <w:b/>
                <w:sz w:val="28"/>
                <w:szCs w:val="28"/>
                <w:lang w:bidi="ar"/>
              </w:rPr>
              <w:t>6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阎伟</w:t>
            </w: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山东高速信联支付有限公司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计算机科学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b/>
                <w:sz w:val="28"/>
                <w:szCs w:val="28"/>
                <w:lang w:bidi="ar"/>
              </w:rPr>
            </w:pPr>
            <w:r>
              <w:rPr>
                <w:rFonts w:hint="eastAsia" w:cs="仿宋" w:asciiTheme="minorEastAsia" w:hAnsiTheme="minorEastAsia"/>
                <w:b/>
                <w:sz w:val="28"/>
                <w:szCs w:val="28"/>
                <w:lang w:bidi="ar"/>
              </w:rPr>
              <w:t>7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高原</w:t>
            </w: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山东省大数据中心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计算机网络与安全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b/>
                <w:sz w:val="28"/>
                <w:szCs w:val="28"/>
                <w:lang w:bidi="ar"/>
              </w:rPr>
            </w:pPr>
            <w:r>
              <w:rPr>
                <w:rFonts w:hint="eastAsia" w:cs="仿宋" w:asciiTheme="minorEastAsia" w:hAnsiTheme="minorEastAsia"/>
                <w:b/>
                <w:sz w:val="28"/>
                <w:szCs w:val="28"/>
                <w:lang w:bidi="ar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贾学军</w:t>
            </w: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厅机关服务中心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财务会计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高级会计师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b/>
                <w:sz w:val="28"/>
                <w:szCs w:val="28"/>
                <w:lang w:bidi="ar"/>
              </w:rPr>
            </w:pPr>
            <w:r>
              <w:rPr>
                <w:rFonts w:hint="eastAsia" w:cs="仿宋" w:asciiTheme="minorEastAsia" w:hAnsiTheme="minorEastAsia"/>
                <w:b/>
                <w:sz w:val="28"/>
                <w:szCs w:val="28"/>
                <w:lang w:bidi="ar"/>
              </w:rPr>
              <w:t>9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冯延军</w:t>
            </w: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山东省交通运输厅京杭运河航运中心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财务会计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高级会计师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0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0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 xml:space="preserve">组织评价（验收、评价）单位：山东省交通运输厅、山东公路学会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0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评价（验收、评价）意见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0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8"/>
                <w:szCs w:val="24"/>
              </w:rPr>
              <w:t>验      收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4"/>
              </w:rPr>
              <w:t xml:space="preserve">      </w:t>
            </w:r>
            <w:r>
              <w:rPr>
                <w:rFonts w:hint="eastAsia" w:ascii="Times New Roman" w:hAnsi="Times New Roman" w:cs="Times New Roman"/>
                <w:b/>
                <w:kern w:val="0"/>
                <w:sz w:val="28"/>
                <w:szCs w:val="24"/>
              </w:rPr>
              <w:t>意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4"/>
              </w:rPr>
              <w:t xml:space="preserve">      </w:t>
            </w:r>
            <w:r>
              <w:rPr>
                <w:rFonts w:hint="eastAsia" w:ascii="Times New Roman" w:hAnsi="Times New Roman" w:cs="Times New Roman"/>
                <w:b/>
                <w:kern w:val="0"/>
                <w:sz w:val="28"/>
                <w:szCs w:val="24"/>
              </w:rPr>
              <w:t>见</w:t>
            </w:r>
          </w:p>
          <w:p>
            <w:pPr>
              <w:ind w:firstLine="560" w:firstLineChars="200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4"/>
              </w:rPr>
              <w:t>2019年9月7日，山东省交通运输厅在济南组织了“高速公路不停车收费（ETC）异常预警分析研究”项目验收工作。验收专家组（名单附后）听取了项目组的汇报，审阅了相关资料，经质询和讨论，形成验收意见如下：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4"/>
              </w:rPr>
              <w:cr/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4"/>
              </w:rPr>
              <w:t xml:space="preserve">    一、项目组提交的资料齐全，内容完整，符合验收要求。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4"/>
              </w:rPr>
              <w:cr/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4"/>
              </w:rPr>
              <w:t xml:space="preserve">    二、项目完成了ETC系统运行异常的分析防范研究、ETC智能预警分析的研究、ETC防逃费的分析模型研究、提高ETC通过率的分析研究及OBU发行安装使用的规范化标准化研究等工作，开发了结算中心ETC智能预警应用软件系统、高通过率的嵌入式ETC车道系统，形成了OBU发行安装规范。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4"/>
              </w:rPr>
              <w:cr/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4"/>
              </w:rPr>
              <w:t xml:space="preserve">    三、通过ETC智能预警分析系统的应用，实现了ETC业务的异常分析预警；通过嵌入式ETC车道系统在机场收费站试点应用，实现了ETC车道的高通过率、高安全性。上述应用为项目推广奠定了良好的基础，具有较好的经济和社会效益。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4"/>
              </w:rPr>
              <w:cr/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4"/>
              </w:rPr>
              <w:t xml:space="preserve">    四、根据项目财务报告列示情况，经费使用合理，符合相关要求。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4"/>
              </w:rPr>
              <w:cr/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4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4"/>
              </w:rPr>
              <w:cr/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4"/>
              </w:rPr>
              <w:t xml:space="preserve">    验收专家组认为该项目完成了计划任务书确定的研究目标，同意通过验收。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4"/>
              </w:rPr>
              <w:cr/>
            </w:r>
          </w:p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8"/>
                <w:szCs w:val="24"/>
              </w:rPr>
              <w:t>评    价    意    见</w:t>
            </w:r>
          </w:p>
          <w:p>
            <w:pPr>
              <w:pStyle w:val="4"/>
              <w:adjustRightInd w:val="0"/>
              <w:snapToGrid w:val="0"/>
              <w:spacing w:line="520" w:lineRule="exact"/>
              <w:ind w:left="0" w:leftChars="0" w:firstLine="560" w:firstLineChars="200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4"/>
              </w:rPr>
              <w:t>2019年9月7日，山东公路学会在济南组织了“高速公路不停车收费（ETC）异常预警分析研究”成果评价工作。评价委员会（名单附后）听取了项目组的汇报，审阅了相关资料，经质询和讨论，形成评价意见如下：</w:t>
            </w:r>
          </w:p>
          <w:p>
            <w:pPr>
              <w:pStyle w:val="4"/>
              <w:adjustRightInd w:val="0"/>
              <w:snapToGrid w:val="0"/>
              <w:spacing w:line="520" w:lineRule="exact"/>
              <w:ind w:firstLine="140" w:firstLineChars="50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4"/>
              </w:rPr>
              <w:t>一、提交的技术资料齐全，内容完整，符合评价要求。</w:t>
            </w:r>
          </w:p>
          <w:p>
            <w:pPr>
              <w:pStyle w:val="4"/>
              <w:adjustRightInd w:val="0"/>
              <w:snapToGrid w:val="0"/>
              <w:spacing w:line="520" w:lineRule="exact"/>
              <w:ind w:left="0" w:leftChars="0" w:firstLine="560" w:firstLineChars="200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4"/>
              </w:rPr>
              <w:t>二、项目完成了ETC系统运行异常的分析防范研究、ETC智能预警分析的研究、ETC防逃费的分析模型研究、提高ETC通过率的分析研究及OBU发行安装使用的规范化标准化研究等工作，开发了结算中心ETC智能预警应用软件系统、高通过率的嵌入式ETC车道系统，形成了OBU发行安装规范。</w:t>
            </w:r>
          </w:p>
          <w:p>
            <w:pPr>
              <w:pStyle w:val="4"/>
              <w:adjustRightInd w:val="0"/>
              <w:snapToGrid w:val="0"/>
              <w:spacing w:line="520" w:lineRule="exact"/>
              <w:ind w:left="0" w:leftChars="0" w:firstLine="560" w:firstLineChars="200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4"/>
              </w:rPr>
              <w:t>三、项目基于多元数据融合、多维特征研究，建立了全面的ETC业务异常预警分析模型体系；基于各种异常判别模型、故障预测模型、逃费稽查模型，形成模型库，通过模式自动匹配、热点数据在线分析，实现实时预警和拦截。</w:t>
            </w:r>
          </w:p>
          <w:p>
            <w:pPr>
              <w:pStyle w:val="4"/>
              <w:adjustRightInd w:val="0"/>
              <w:snapToGrid w:val="0"/>
              <w:spacing w:line="520" w:lineRule="exact"/>
              <w:ind w:left="0" w:leftChars="0" w:firstLine="560" w:firstLineChars="200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4"/>
              </w:rPr>
              <w:t>四、通过ETC智能预警分析系统的应用，实现了ETC业务的异常分析预警；通过嵌入式ETC车道系统在机场收费站试点应用，实现了ETC车道的高通过率、高安全性。上述应用为项目推广奠定了良好的基础，具有较好的经济和社会效益。</w:t>
            </w:r>
          </w:p>
          <w:p>
            <w:pPr>
              <w:pStyle w:val="4"/>
              <w:adjustRightInd w:val="0"/>
              <w:snapToGrid w:val="0"/>
              <w:spacing w:line="520" w:lineRule="exact"/>
              <w:ind w:left="0" w:leftChars="0" w:firstLine="560" w:firstLineChars="200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4"/>
              </w:rPr>
              <w:t>综上所述，项目研究成果总体上达到国内领先水平。</w:t>
            </w:r>
          </w:p>
          <w:p>
            <w:pPr>
              <w:pStyle w:val="4"/>
              <w:adjustRightInd w:val="0"/>
              <w:snapToGrid w:val="0"/>
              <w:spacing w:line="520" w:lineRule="exact"/>
              <w:ind w:firstLine="140" w:firstLineChars="50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4"/>
              </w:rPr>
              <w:t>建议结合当前业务现状，进一步加大项目成果的推广应用力度。</w:t>
            </w:r>
          </w:p>
          <w:p>
            <w:pPr>
              <w:pStyle w:val="4"/>
              <w:adjustRightInd w:val="0"/>
              <w:snapToGrid w:val="0"/>
              <w:spacing w:line="520" w:lineRule="exact"/>
              <w:ind w:firstLine="140" w:firstLineChars="50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4"/>
              </w:rPr>
              <w:t xml:space="preserve">         </w:t>
            </w:r>
            <w:bookmarkStart w:id="0" w:name="_GoBack"/>
            <w:bookmarkEnd w:id="0"/>
          </w:p>
          <w:p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C7"/>
    <w:rsid w:val="006B0340"/>
    <w:rsid w:val="00873FC7"/>
    <w:rsid w:val="00BC19B7"/>
    <w:rsid w:val="00DE4471"/>
    <w:rsid w:val="00DF3923"/>
    <w:rsid w:val="0767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keepNext/>
      <w:keepLines/>
      <w:spacing w:before="120" w:after="120"/>
      <w:outlineLvl w:val="1"/>
    </w:pPr>
    <w:rPr>
      <w:rFonts w:ascii="Calibri Light" w:hAnsi="Calibri Light" w:eastAsia="宋体" w:cs="Times New Roman"/>
      <w:b/>
      <w:bCs/>
      <w:kern w:val="0"/>
      <w:sz w:val="32"/>
      <w:szCs w:val="32"/>
    </w:rPr>
  </w:style>
  <w:style w:type="paragraph" w:styleId="3">
    <w:name w:val="heading 3"/>
    <w:basedOn w:val="1"/>
    <w:next w:val="1"/>
    <w:link w:val="9"/>
    <w:qFormat/>
    <w:uiPriority w:val="9"/>
    <w:pPr>
      <w:keepNext/>
      <w:keepLines/>
      <w:ind w:left="420" w:hanging="420"/>
      <w:outlineLvl w:val="2"/>
    </w:pPr>
    <w:rPr>
      <w:rFonts w:ascii="Calibri" w:hAnsi="Calibri" w:eastAsia="宋体" w:cs="Times New Roman"/>
      <w:b/>
      <w:bCs/>
      <w:kern w:val="0"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link w:val="10"/>
    <w:unhideWhenUsed/>
    <w:uiPriority w:val="99"/>
    <w:pPr>
      <w:spacing w:after="120" w:line="480" w:lineRule="auto"/>
      <w:ind w:left="420" w:leftChars="200"/>
    </w:p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2 Char"/>
    <w:basedOn w:val="7"/>
    <w:link w:val="2"/>
    <w:qFormat/>
    <w:uiPriority w:val="9"/>
    <w:rPr>
      <w:rFonts w:ascii="Calibri Light" w:hAnsi="Calibri Light" w:eastAsia="宋体" w:cs="Times New Roman"/>
      <w:b/>
      <w:bCs/>
      <w:kern w:val="0"/>
      <w:sz w:val="32"/>
      <w:szCs w:val="32"/>
    </w:rPr>
  </w:style>
  <w:style w:type="character" w:customStyle="1" w:styleId="9">
    <w:name w:val="标题 3 Char"/>
    <w:basedOn w:val="7"/>
    <w:link w:val="3"/>
    <w:qFormat/>
    <w:uiPriority w:val="9"/>
    <w:rPr>
      <w:rFonts w:ascii="Calibri" w:hAnsi="Calibri" w:eastAsia="宋体" w:cs="Times New Roman"/>
      <w:b/>
      <w:bCs/>
      <w:kern w:val="0"/>
      <w:sz w:val="32"/>
      <w:szCs w:val="32"/>
    </w:rPr>
  </w:style>
  <w:style w:type="character" w:customStyle="1" w:styleId="10">
    <w:name w:val="正文文本缩进 2 Char"/>
    <w:basedOn w:val="7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411</Words>
  <Characters>2344</Characters>
  <Lines>19</Lines>
  <Paragraphs>5</Paragraphs>
  <TotalTime>10</TotalTime>
  <ScaleCrop>false</ScaleCrop>
  <LinksUpToDate>false</LinksUpToDate>
  <CharactersWithSpaces>2750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2019-10-22T03:30:00Z</dcterms:created>
  <dc:creator>admin</dc:creator>
  <cp:lastModifiedBy>依米</cp:lastModifiedBy>
  <dcterms:modified xsi:type="dcterms:W3CDTF">2019-10-25T03:30:56Z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