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小标宋简体" w:cs="Times New Roman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2023年山东省交通运输行业</w:t>
      </w:r>
      <w:r>
        <w:rPr>
          <w:rFonts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桥隧工（学生组）职业技能</w:t>
      </w:r>
      <w:bookmarkStart w:id="60" w:name="_GoBack"/>
      <w:bookmarkEnd w:id="60"/>
      <w:r>
        <w:rPr>
          <w:rFonts w:hint="eastAsia" w:ascii="Times New Roman" w:hAnsi="Times New Roman" w:eastAsia="方正小标宋简体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赛技术方案</w:t>
      </w:r>
    </w:p>
    <w:p>
      <w:pPr>
        <w:spacing w:before="1" w:line="560" w:lineRule="exact"/>
        <w:ind w:right="-48" w:rightChars="-23"/>
        <w:rPr>
          <w:rFonts w:ascii="Times New Roman" w:hAnsi="Times New Roman" w:eastAsia="仿宋_GB2312" w:cs="Times New Roman"/>
          <w:b/>
          <w:color w:val="000000" w:themeColor="text1"/>
          <w:sz w:val="33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为科学组织山东省“技能兴鲁”职业技能大赛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——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2023 年山东省交通运输行业桥隧工（学生组）职业技能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赛，保证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赛公平公正，维护参赛单位、参赛选手的合法权益，根据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竞赛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有关规定，制定本方案。</w:t>
      </w:r>
    </w:p>
    <w:p>
      <w:pPr>
        <w:spacing w:line="560" w:lineRule="exact"/>
        <w:ind w:firstLine="640" w:firstLineChars="200"/>
        <w:outlineLvl w:val="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Times New Roman" w:hAnsi="Times New Roman" w:eastAsia="黑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赛职业</w:t>
      </w:r>
    </w:p>
    <w:p>
      <w:pPr>
        <w:pStyle w:val="189"/>
        <w:spacing w:line="560" w:lineRule="exact"/>
        <w:ind w:firstLine="640"/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2"/>
          <w:szCs w:val="32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cs="Times New Roman"/>
          <w:color w:val="000000" w:themeColor="text1"/>
          <w:kern w:val="2"/>
          <w:szCs w:val="32"/>
          <w14:textFill>
            <w14:solidFill>
              <w14:schemeClr w14:val="tx1"/>
            </w14:solidFill>
          </w14:textFill>
        </w:rPr>
        <w:t>赛职业为桥隧工，范</w:t>
      </w:r>
      <w:r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围为职业院校、技工院校道路、桥梁、隧道等相关专业的全日制在籍学生。</w:t>
      </w:r>
    </w:p>
    <w:p>
      <w:pPr>
        <w:spacing w:line="560" w:lineRule="exact"/>
        <w:ind w:firstLine="640" w:firstLineChars="200"/>
        <w:outlineLvl w:val="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二、选手条件</w:t>
      </w:r>
    </w:p>
    <w:p>
      <w:pPr>
        <w:spacing w:line="560" w:lineRule="exact"/>
        <w:ind w:firstLine="640" w:firstLineChars="200"/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参赛人员必须为中国国籍，且为职业院校、技工院校（含职本、高职、中职、技校）道路、桥梁、隧道等相关专业全日制在籍学生。</w:t>
      </w:r>
    </w:p>
    <w:p>
      <w:pPr>
        <w:spacing w:line="560" w:lineRule="exact"/>
        <w:ind w:firstLine="640" w:firstLineChars="200"/>
        <w:outlineLvl w:val="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Times New Roman" w:hAnsi="Times New Roman" w:eastAsia="黑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赛名额分配</w:t>
      </w:r>
    </w:p>
    <w:p>
      <w:pPr>
        <w:widowControl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（一）全省总决赛参赛队伍以院校为单位组队参赛，每个院校可参赛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队，每支队伍3人。</w:t>
      </w:r>
    </w:p>
    <w:p>
      <w:pPr>
        <w:pStyle w:val="189"/>
        <w:spacing w:line="560" w:lineRule="exact"/>
        <w:ind w:left="600" w:firstLine="0" w:firstLineChars="0"/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（二）不得跨院校组队。</w:t>
      </w:r>
    </w:p>
    <w:p>
      <w:pPr>
        <w:pStyle w:val="189"/>
        <w:spacing w:line="560" w:lineRule="exact"/>
        <w:ind w:left="600" w:firstLine="0" w:firstLineChars="0"/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（三）每支参赛队伍可报2名指导教师。</w:t>
      </w:r>
    </w:p>
    <w:p>
      <w:pPr>
        <w:spacing w:line="560" w:lineRule="exact"/>
        <w:ind w:firstLine="640" w:firstLineChars="200"/>
        <w:outlineLvl w:val="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Times New Roman" w:hAnsi="Times New Roman" w:eastAsia="黑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赛成绩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赛队总成绩由理论知识和技能操作两部分成绩组成，其中理论知识成绩为参赛队3位选手的平均分，并按20%的比例计入总成绩；技能操作成绩按80%的比例计入总成绩，技能操作成绩取参赛队三个竞赛项目成绩按照权重计算，所有比赛项目满分均为100分，成绩四舍五入法均计算到小数点后2位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所有参赛队名次按总成绩由高到低排序，确定最终名次。若总成绩相同，则以技能操作成绩高者名次在前；若总成绩和技能操作竞赛成绩均相同，则以完成技能操作所有项目总时间少者名次在前。如总成绩、理论知识竞赛成绩、完成技能操作所有项目总时间均相同，则以隧道衬砌缺陷无损检测项目成绩高者名次在前，如该项目成绩仍然相同则以该项目完成时间少者名次在前。</w:t>
      </w:r>
    </w:p>
    <w:p>
      <w:pPr>
        <w:spacing w:line="560" w:lineRule="exact"/>
        <w:ind w:firstLine="640" w:firstLineChars="200"/>
        <w:outlineLvl w:val="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Times New Roman" w:hAnsi="Times New Roman" w:eastAsia="黑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赛内容</w:t>
      </w:r>
    </w:p>
    <w:p>
      <w:pPr>
        <w:pStyle w:val="189"/>
        <w:spacing w:line="560" w:lineRule="exact"/>
        <w:ind w:left="600" w:firstLine="0" w:firstLineChars="0"/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赛内容分为理论知识竞赛和技能操作竞赛两部分。</w:t>
      </w:r>
    </w:p>
    <w:p>
      <w:pPr>
        <w:pStyle w:val="189"/>
        <w:spacing w:line="560" w:lineRule="exact"/>
        <w:ind w:left="600" w:firstLine="0" w:firstLineChars="0"/>
        <w:rPr>
          <w:rFonts w:ascii="Times New Roman" w:hAnsi="Times New Roman" w:eastAsia="楷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（一）理论知识竞赛。（满分为</w:t>
      </w:r>
      <w:r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100</w:t>
      </w:r>
      <w:r>
        <w:rPr>
          <w:rFonts w:ascii="Times New Roman" w:hAnsi="Times New Roman" w:eastAsia="楷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分，占总分2</w:t>
      </w:r>
      <w:r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0%</w:t>
      </w:r>
      <w:r>
        <w:rPr>
          <w:rFonts w:ascii="Times New Roman" w:hAnsi="Times New Roman" w:eastAsia="楷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）</w:t>
      </w:r>
    </w:p>
    <w:p>
      <w:pPr>
        <w:pStyle w:val="189"/>
        <w:spacing w:line="560" w:lineRule="exact"/>
        <w:ind w:firstLine="640"/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理论知识竞赛采用闭卷机考（试题库中系统随机抽题）的方式进行，限定时间为60分钟。题型包括：单选题、多选题。试题库试题提前一定时间公开供参赛队伍练习。每支参赛队的所有队员均需参加理论知识竞赛，团队平均成绩作为该参赛团队理论知识竞赛最终成绩。具体实施细则见附件1。</w:t>
      </w:r>
    </w:p>
    <w:p>
      <w:pPr>
        <w:pStyle w:val="189"/>
        <w:spacing w:line="580" w:lineRule="exact"/>
        <w:ind w:left="600" w:firstLine="320" w:firstLineChars="100"/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理论知识参考资料：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《JTG/T 3650公路桥涵施工技术规范》《JTG F80公路工程质量检验评定标准 第一册 土建工程》《GB 50026工程测量标准》《GB 55018工程测量通用规范》《GB/T 50784 混凝土结构现场检测技术标准》《JGJ/T 411 冲击回波法检测混凝土缺陷技术规程》《TB 10753 高速铁路隧道工程施工质量验收标准》《TB 10433 铁路工程混凝土实体质量检测技术规程》等现行规范标准，桥梁隧道工程相关规定和政策办法，桥隧工国家职业技能标准（2019版）规定的桥隧工基本要求、基础知识、桥梁和隧道施工知识等。</w:t>
      </w:r>
    </w:p>
    <w:p>
      <w:pPr>
        <w:pStyle w:val="189"/>
        <w:numPr>
          <w:ilvl w:val="0"/>
          <w:numId w:val="2"/>
        </w:numPr>
        <w:spacing w:line="560" w:lineRule="exact"/>
        <w:ind w:left="600" w:firstLine="0" w:firstLineChars="0"/>
        <w:rPr>
          <w:rFonts w:ascii="Times New Roman" w:hAnsi="Times New Roman" w:eastAsia="楷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技能操作竞赛项目</w:t>
      </w:r>
    </w:p>
    <w:p>
      <w:pPr>
        <w:pStyle w:val="189"/>
        <w:spacing w:line="560" w:lineRule="exact"/>
        <w:ind w:left="600" w:firstLine="0" w:firstLineChars="0"/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竞赛项目共3项，具体如下表1。</w:t>
      </w:r>
    </w:p>
    <w:p>
      <w:pPr>
        <w:spacing w:line="560" w:lineRule="exact"/>
        <w:ind w:firstLine="2570" w:firstLineChars="800"/>
        <w:rPr>
          <w:rFonts w:ascii="Times New Roman" w:hAnsi="Times New Roman" w:eastAsia="仿宋_GB2312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表1 学生组竞赛项目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38"/>
        <w:tblW w:w="8895" w:type="dxa"/>
        <w:tblInd w:w="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9"/>
        <w:gridCol w:w="5100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9" w:type="dxa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竞赛项目类型</w:t>
            </w:r>
          </w:p>
        </w:tc>
        <w:tc>
          <w:tcPr>
            <w:tcW w:w="5100" w:type="dxa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竞赛具体内容</w:t>
            </w:r>
          </w:p>
        </w:tc>
        <w:tc>
          <w:tcPr>
            <w:tcW w:w="1476" w:type="dxa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所占权重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隧道衬砌缺陷无损检测</w:t>
            </w:r>
          </w:p>
        </w:tc>
        <w:tc>
          <w:tcPr>
            <w:tcW w:w="5100" w:type="dxa"/>
            <w:vAlign w:val="center"/>
          </w:tcPr>
          <w:p>
            <w:pPr>
              <w:autoSpaceDE w:val="0"/>
              <w:autoSpaceDN w:val="0"/>
              <w:jc w:val="left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采用无损检测技术对模拟的隧道衬砌缺陷进行检测判定</w:t>
            </w:r>
          </w:p>
        </w:tc>
        <w:tc>
          <w:tcPr>
            <w:tcW w:w="1476" w:type="dxa"/>
            <w:vAlign w:val="center"/>
          </w:tcPr>
          <w:p>
            <w:pPr>
              <w:ind w:left="8" w:leftChars="-112" w:hanging="243" w:hangingChars="87"/>
              <w:jc w:val="center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钢筋骨架加工</w:t>
            </w:r>
          </w:p>
        </w:tc>
        <w:tc>
          <w:tcPr>
            <w:tcW w:w="5100" w:type="dxa"/>
          </w:tcPr>
          <w:p>
            <w:pPr>
              <w:autoSpaceDE w:val="0"/>
              <w:autoSpaceDN w:val="0"/>
              <w:jc w:val="left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钢筋骨架识图、下料、加工、领料、绑扎以及工程量计算</w:t>
            </w:r>
          </w:p>
        </w:tc>
        <w:tc>
          <w:tcPr>
            <w:tcW w:w="1476" w:type="dxa"/>
            <w:vAlign w:val="center"/>
          </w:tcPr>
          <w:p>
            <w:pPr>
              <w:ind w:left="8" w:leftChars="-112" w:hanging="243" w:hangingChars="87"/>
              <w:jc w:val="center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施工放样</w:t>
            </w:r>
          </w:p>
        </w:tc>
        <w:tc>
          <w:tcPr>
            <w:tcW w:w="5100" w:type="dxa"/>
          </w:tcPr>
          <w:p>
            <w:pPr>
              <w:autoSpaceDE w:val="0"/>
              <w:autoSpaceDN w:val="0"/>
              <w:jc w:val="left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根据提供的桥隧线路曲线线型参数，计算后进行指定中桩点放样，并进行放样点位坐标校核测量</w:t>
            </w:r>
          </w:p>
        </w:tc>
        <w:tc>
          <w:tcPr>
            <w:tcW w:w="1476" w:type="dxa"/>
            <w:vAlign w:val="center"/>
          </w:tcPr>
          <w:p>
            <w:pPr>
              <w:ind w:left="8" w:leftChars="-112" w:hanging="243" w:hangingChars="87"/>
              <w:jc w:val="center"/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30%</w:t>
            </w:r>
          </w:p>
        </w:tc>
      </w:tr>
    </w:tbl>
    <w:p>
      <w:pPr>
        <w:spacing w:line="560" w:lineRule="exact"/>
        <w:ind w:firstLine="643" w:firstLineChars="200"/>
        <w:rPr>
          <w:rFonts w:hint="eastAsia" w:eastAsia="仿宋_GB2312"/>
          <w:b/>
          <w:bCs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/>
          <w:bCs/>
          <w:sz w:val="32"/>
          <w:szCs w:val="32"/>
        </w:rPr>
        <w:t>.隧道衬砌缺陷无损检测。</w:t>
      </w:r>
    </w:p>
    <w:p>
      <w:pPr>
        <w:spacing w:line="56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考核内容：每支参赛队在规定时间内，</w:t>
      </w:r>
      <w:r>
        <w:rPr>
          <w:rFonts w:hint="eastAsia" w:eastAsia="仿宋_GB2312"/>
          <w:sz w:val="32"/>
          <w:szCs w:val="32"/>
          <w:lang w:val="en-US" w:eastAsia="zh-CN"/>
        </w:rPr>
        <w:t>按照</w:t>
      </w:r>
      <w:r>
        <w:rPr>
          <w:rFonts w:hint="eastAsia" w:eastAsia="仿宋_GB2312"/>
          <w:sz w:val="32"/>
          <w:szCs w:val="32"/>
        </w:rPr>
        <w:t>现行</w:t>
      </w:r>
      <w:r>
        <w:rPr>
          <w:rFonts w:hint="eastAsia" w:eastAsia="仿宋_GB2312"/>
          <w:sz w:val="32"/>
          <w:szCs w:val="32"/>
          <w:lang w:val="en-US" w:eastAsia="zh-CN"/>
        </w:rPr>
        <w:t>规范</w:t>
      </w:r>
      <w:r>
        <w:rPr>
          <w:rFonts w:hint="eastAsia" w:eastAsia="仿宋_GB2312"/>
          <w:sz w:val="32"/>
          <w:szCs w:val="32"/>
        </w:rPr>
        <w:t>标准《GB</w:t>
      </w:r>
      <w:r>
        <w:rPr>
          <w:rFonts w:hint="eastAsia" w:eastAsia="仿宋_GB2312"/>
          <w:sz w:val="32"/>
          <w:szCs w:val="32"/>
          <w:lang w:val="en-US" w:eastAsia="zh-CN"/>
        </w:rPr>
        <w:t>/</w:t>
      </w:r>
      <w:r>
        <w:rPr>
          <w:rFonts w:hint="eastAsia" w:eastAsia="仿宋_GB2312"/>
          <w:sz w:val="32"/>
          <w:szCs w:val="32"/>
        </w:rPr>
        <w:t>T 50784 混凝土结构现场检测技术标准》《JTG F80公路工程质量检验评定标准</w:t>
      </w:r>
      <w:r>
        <w:rPr>
          <w:rFonts w:hint="eastAsia" w:eastAsia="仿宋_GB2312"/>
          <w:sz w:val="32"/>
          <w:szCs w:val="32"/>
          <w:lang w:val="en-US" w:eastAsia="zh-CN"/>
        </w:rPr>
        <w:t xml:space="preserve"> 第一册 土建工程</w:t>
      </w:r>
      <w:r>
        <w:rPr>
          <w:rFonts w:hint="eastAsia" w:eastAsia="仿宋_GB2312"/>
          <w:sz w:val="32"/>
          <w:szCs w:val="32"/>
        </w:rPr>
        <w:t>》《TB 10753 高速铁路隧道工程施工质量验收标准》《TB 10433 铁路工程混凝土实体质量检测技术规程》《JGJ</w:t>
      </w:r>
      <w:r>
        <w:rPr>
          <w:rFonts w:hint="eastAsia" w:eastAsia="仿宋_GB2312"/>
          <w:sz w:val="32"/>
          <w:szCs w:val="32"/>
          <w:lang w:val="en-US" w:eastAsia="zh-CN"/>
        </w:rPr>
        <w:t>/</w:t>
      </w:r>
      <w:r>
        <w:rPr>
          <w:rFonts w:hint="eastAsia" w:eastAsia="仿宋_GB2312"/>
          <w:sz w:val="32"/>
          <w:szCs w:val="32"/>
        </w:rPr>
        <w:t>T 411 冲击回波法检测混凝土缺陷技术规程》，</w:t>
      </w:r>
      <w:r>
        <w:rPr>
          <w:rFonts w:hint="eastAsia" w:eastAsia="仿宋_GB2312"/>
          <w:sz w:val="32"/>
          <w:szCs w:val="32"/>
          <w:lang w:val="en-US" w:eastAsia="zh-CN"/>
        </w:rPr>
        <w:t>根据</w:t>
      </w:r>
      <w:r>
        <w:rPr>
          <w:rFonts w:hint="eastAsia" w:eastAsia="仿宋_GB2312"/>
          <w:sz w:val="32"/>
          <w:szCs w:val="32"/>
        </w:rPr>
        <w:t>现场提供的任务书，对模拟隧道衬砌的</w:t>
      </w:r>
      <w:r>
        <w:rPr>
          <w:rFonts w:hint="eastAsia" w:eastAsia="仿宋_GB2312"/>
          <w:sz w:val="32"/>
          <w:szCs w:val="32"/>
          <w:lang w:val="en-US" w:eastAsia="zh-CN"/>
        </w:rPr>
        <w:t>缺陷</w:t>
      </w:r>
      <w:r>
        <w:rPr>
          <w:rFonts w:hint="eastAsia" w:eastAsia="仿宋_GB2312"/>
          <w:sz w:val="32"/>
          <w:szCs w:val="32"/>
        </w:rPr>
        <w:t>采用电磁波反射法（地质雷达法）、冲击回波（声频）法、敲击法等无损检测技术进行检测，准确判定</w:t>
      </w:r>
      <w:r>
        <w:rPr>
          <w:rFonts w:hint="eastAsia" w:eastAsia="仿宋_GB2312"/>
          <w:sz w:val="32"/>
          <w:szCs w:val="32"/>
          <w:lang w:val="en-US" w:eastAsia="zh-CN"/>
        </w:rPr>
        <w:t>有无缺陷、</w:t>
      </w:r>
      <w:r>
        <w:rPr>
          <w:rFonts w:hint="eastAsia" w:eastAsia="仿宋_GB2312"/>
          <w:sz w:val="32"/>
          <w:szCs w:val="32"/>
        </w:rPr>
        <w:t>缺陷位置、大小、埋深等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hint="eastAsia" w:eastAsia="仿宋_GB2312"/>
          <w:sz w:val="32"/>
          <w:szCs w:val="32"/>
        </w:rPr>
        <w:t>并填写《隧道衬砌缺陷无损检测报告》。</w:t>
      </w:r>
    </w:p>
    <w:p>
      <w:pPr>
        <w:spacing w:line="56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竞赛实施：每队</w:t>
      </w:r>
      <w:r>
        <w:rPr>
          <w:rFonts w:hint="eastAsia" w:eastAsia="仿宋_GB2312"/>
          <w:sz w:val="32"/>
          <w:szCs w:val="32"/>
          <w:lang w:val="en-US" w:eastAsia="zh-CN"/>
        </w:rPr>
        <w:t>3</w:t>
      </w:r>
      <w:r>
        <w:rPr>
          <w:rFonts w:hint="eastAsia" w:eastAsia="仿宋_GB2312"/>
          <w:sz w:val="32"/>
          <w:szCs w:val="32"/>
        </w:rPr>
        <w:t>名选手，配合作业，完成隧道衬砌缺陷无损检测数据采集、记录、计算、报告填写等，提交电子数据及检测成果报告。选手可以根据需要，选择适宜的无损检测方法，可采用一种</w:t>
      </w:r>
      <w:r>
        <w:rPr>
          <w:rFonts w:hint="eastAsia" w:eastAsia="仿宋_GB2312"/>
          <w:sz w:val="32"/>
          <w:szCs w:val="32"/>
          <w:lang w:val="en-US" w:eastAsia="zh-CN"/>
        </w:rPr>
        <w:t>或多种</w:t>
      </w:r>
      <w:r>
        <w:rPr>
          <w:rFonts w:hint="eastAsia" w:eastAsia="仿宋_GB2312"/>
          <w:sz w:val="32"/>
          <w:szCs w:val="32"/>
        </w:rPr>
        <w:t>方法联合检测。竞赛所需器具、设备及材料由组织方统一提供，部分设备也可参赛队自带，详见附件2，自带设备队伍检录时需签《自带设备责任承诺书》，详见附件</w:t>
      </w:r>
      <w:r>
        <w:rPr>
          <w:rFonts w:hint="eastAsia" w:eastAsia="仿宋_GB2312"/>
          <w:sz w:val="32"/>
          <w:szCs w:val="32"/>
          <w:lang w:val="en-US" w:eastAsia="zh-CN"/>
        </w:rPr>
        <w:t>6</w:t>
      </w:r>
      <w:r>
        <w:rPr>
          <w:rFonts w:hint="eastAsia" w:eastAsia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比赛时间：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60</w:t>
      </w:r>
      <w:r>
        <w:rPr>
          <w:rFonts w:hint="eastAsia" w:eastAsia="仿宋_GB2312"/>
          <w:sz w:val="32"/>
          <w:szCs w:val="32"/>
        </w:rPr>
        <w:t>分钟。</w:t>
      </w:r>
    </w:p>
    <w:p>
      <w:pPr>
        <w:spacing w:line="56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实施细则及相关表格见附件</w:t>
      </w:r>
      <w:r>
        <w:rPr>
          <w:rFonts w:hint="eastAsia" w:eastAsia="仿宋_GB2312"/>
          <w:sz w:val="32"/>
          <w:szCs w:val="32"/>
          <w:lang w:val="en-US" w:eastAsia="zh-CN"/>
        </w:rPr>
        <w:t>2</w:t>
      </w:r>
      <w:r>
        <w:rPr>
          <w:rFonts w:hint="eastAsia" w:eastAsia="仿宋_GB2312"/>
          <w:sz w:val="32"/>
          <w:szCs w:val="32"/>
        </w:rPr>
        <w:t>。</w:t>
      </w:r>
    </w:p>
    <w:p>
      <w:pPr>
        <w:spacing w:line="560" w:lineRule="exact"/>
        <w:ind w:firstLine="643" w:firstLineChars="200"/>
        <w:rPr>
          <w:rFonts w:hint="eastAsia" w:eastAsia="仿宋_GB2312"/>
          <w:b/>
          <w:bCs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/>
          <w:bCs/>
          <w:sz w:val="32"/>
          <w:szCs w:val="32"/>
        </w:rPr>
        <w:t>.钢筋骨架加工。</w:t>
      </w:r>
    </w:p>
    <w:p>
      <w:pPr>
        <w:spacing w:line="560" w:lineRule="exact"/>
        <w:ind w:firstLine="640" w:firstLineChars="200"/>
        <w:rPr>
          <w:rFonts w:hint="eastAsia"/>
        </w:rPr>
      </w:pPr>
      <w:r>
        <w:rPr>
          <w:rFonts w:hint="eastAsia" w:eastAsia="仿宋_GB2312"/>
          <w:sz w:val="32"/>
          <w:szCs w:val="32"/>
        </w:rPr>
        <w:t>考核内容：每支参赛队在规定时间内，按照现行标准《JTG/T 3650 公路桥涵施工技术规范》《JTG F80 公路工程质量检验评定标准 第一册 土建工程》，根据现场提供的任务书，利用钢筋材料、配套工具及设备，完成钢筋骨架识图、下料、加工、领料、绑扎以及工程量计算等任务，并填写《领料单》、《钢筋工程数量表》。</w:t>
      </w:r>
    </w:p>
    <w:p>
      <w:pPr>
        <w:spacing w:line="56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竞赛实施：每队3名选手，配合作业，共同完成钢筋骨架识图、下料、加工、领料、绑扎以及工程量计算等任务，提交领料单、加工钢筋、绑扎钢筋骨架、钢筋工程数量表。竞赛所需器具、设备及材料由组织方统一提供，部分设备也可参赛队自带。</w:t>
      </w:r>
    </w:p>
    <w:p>
      <w:pPr>
        <w:spacing w:line="56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比赛时间：60分钟。</w:t>
      </w:r>
    </w:p>
    <w:p>
      <w:pPr>
        <w:spacing w:line="560" w:lineRule="exact"/>
        <w:ind w:firstLine="640" w:firstLineChars="200"/>
        <w:rPr>
          <w:rFonts w:hint="eastAsia"/>
          <w:lang w:eastAsia="zh-CN"/>
        </w:rPr>
      </w:pPr>
      <w:r>
        <w:rPr>
          <w:rFonts w:hint="eastAsia" w:eastAsia="仿宋_GB2312"/>
          <w:sz w:val="32"/>
          <w:szCs w:val="32"/>
        </w:rPr>
        <w:t>实施细则及相关表格见附件</w:t>
      </w:r>
      <w:r>
        <w:rPr>
          <w:rFonts w:hint="eastAsia" w:eastAsia="仿宋_GB2312"/>
          <w:sz w:val="32"/>
          <w:szCs w:val="32"/>
          <w:lang w:val="en-US" w:eastAsia="zh-CN"/>
        </w:rPr>
        <w:t>3</w:t>
      </w:r>
      <w:r>
        <w:rPr>
          <w:rFonts w:hint="eastAsia" w:eastAsia="仿宋_GB2312"/>
          <w:sz w:val="32"/>
          <w:szCs w:val="32"/>
          <w:lang w:eastAsia="zh-CN"/>
        </w:rPr>
        <w:t>。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.施工放样</w:t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考核内容：每支参赛队在规定时间内，按照现行规范标准《GB 50026工程测量标准》、《GB 55018工程测量通用规范》，根据现场提供的任务书，利用</w:t>
      </w:r>
      <w:r>
        <w:rPr>
          <w:rFonts w:hint="eastAsia" w:ascii="仿宋_GB2312" w:eastAsia="仿宋_GB2312"/>
          <w:color w:val="auto"/>
          <w:sz w:val="32"/>
          <w:szCs w:val="32"/>
        </w:rPr>
        <w:t>非编程计算器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和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全站仪，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完成测量要素计算、</w:t>
      </w:r>
      <w:r>
        <w:rPr>
          <w:rFonts w:hint="eastAsia" w:ascii="仿宋_GB2312" w:eastAsia="仿宋_GB2312"/>
          <w:color w:val="auto"/>
          <w:sz w:val="32"/>
          <w:szCs w:val="32"/>
        </w:rPr>
        <w:t>指定中桩点放样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放样和校核等任务，并填写《施工放样成果表》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 w:eastAsia="仿宋_GB2312"/>
          <w:color w:val="auto"/>
          <w:sz w:val="32"/>
          <w:szCs w:val="32"/>
        </w:rPr>
        <w:t>竞赛实施：每队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eastAsia="仿宋_GB2312"/>
          <w:color w:val="auto"/>
          <w:sz w:val="32"/>
          <w:szCs w:val="32"/>
        </w:rPr>
        <w:t>名选手，配合作业，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共同</w:t>
      </w:r>
      <w:r>
        <w:rPr>
          <w:rFonts w:hint="eastAsia" w:eastAsia="仿宋_GB2312"/>
          <w:color w:val="auto"/>
          <w:sz w:val="32"/>
          <w:szCs w:val="32"/>
        </w:rPr>
        <w:t>完成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测量要素计算、</w:t>
      </w:r>
      <w:r>
        <w:rPr>
          <w:rFonts w:hint="eastAsia" w:ascii="仿宋_GB2312" w:eastAsia="仿宋_GB2312"/>
          <w:color w:val="auto"/>
          <w:sz w:val="32"/>
          <w:szCs w:val="32"/>
        </w:rPr>
        <w:t>指定中桩点放样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放样和校核、成果表填写等任务，</w:t>
      </w:r>
      <w:r>
        <w:rPr>
          <w:rFonts w:hint="eastAsia" w:eastAsia="仿宋_GB2312"/>
          <w:color w:val="auto"/>
          <w:sz w:val="32"/>
          <w:szCs w:val="32"/>
        </w:rPr>
        <w:t>提交电子数据</w:t>
      </w:r>
      <w:r>
        <w:rPr>
          <w:rFonts w:hint="eastAsia" w:eastAsia="仿宋_GB2312"/>
          <w:color w:val="auto"/>
          <w:sz w:val="32"/>
          <w:szCs w:val="32"/>
          <w:lang w:eastAsia="zh-CN"/>
        </w:rPr>
        <w:t>、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计算结果和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施工放样成果表。竞赛所需器具、设备及材料由组织方统一提供，部分设备也可参赛队自带，详见附件4，自带设备队伍需签《自带设备责任承诺书》，详见附件6</w:t>
      </w:r>
      <w:r>
        <w:rPr>
          <w:rFonts w:hint="eastAsia" w:eastAsia="仿宋_GB2312"/>
          <w:color w:val="auto"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比赛时间：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0分钟。</w:t>
      </w:r>
    </w:p>
    <w:p>
      <w:pPr>
        <w:spacing w:line="560" w:lineRule="exact"/>
        <w:ind w:firstLine="640" w:firstLineChars="200"/>
        <w:outlineLvl w:val="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实施细则及相关表格见附件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4。</w:t>
      </w:r>
    </w:p>
    <w:p>
      <w:pPr>
        <w:spacing w:line="560" w:lineRule="exact"/>
        <w:ind w:firstLine="640" w:firstLineChars="200"/>
        <w:outlineLvl w:val="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六、裁判设置及要求</w:t>
      </w:r>
    </w:p>
    <w:p>
      <w:pPr>
        <w:spacing w:line="560" w:lineRule="exact"/>
        <w:ind w:firstLine="640" w:firstLineChars="200"/>
        <w:rPr>
          <w:rFonts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（一）裁判设置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赛设总裁判长1名，副总裁判长1名，分项裁判长3名，根据每个具体竞赛项目配置项目裁判员若干名。正副总裁判长负责全部比赛项目的评判组织工作；分项裁判组长负责此项目的评判组织及选手的信息检录；裁判员负责对比赛选手发令、计时、具体操作、现场纪律等评判工作。</w:t>
      </w:r>
    </w:p>
    <w:p>
      <w:pPr>
        <w:spacing w:line="560" w:lineRule="exact"/>
        <w:ind w:firstLine="640" w:firstLineChars="200"/>
        <w:rPr>
          <w:rFonts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（二）裁判人员要求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1.思想政治好，道德修养高，热爱本职工作，具有良好的职业道德和心理素质，无不良从业记录，在本地区或本行业内享有较高声誉。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2.长期从事本专业（职业）技术工作，具有较高的裁判理论水平和丰富的实际操作经验，熟练掌握竞赛规则，在竞赛活动中运用准确、得当。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3.大专及以上文化程度，原则上具有本职业（工种）高级工及以上职业资格或技能等级，或具有高级及以上专业技术职务。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4.年龄原则上不超过65周岁，且身体健康，获得工作单位支持，能够按时到岗并按要求完成指定裁判工作。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5.能够自觉坚持公平、公正原则，服从组织安排，秉公执裁，不徇私情。</w:t>
      </w:r>
    </w:p>
    <w:p>
      <w:pPr>
        <w:spacing w:line="560" w:lineRule="exact"/>
        <w:ind w:firstLine="640" w:firstLineChars="200"/>
        <w:outlineLvl w:val="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七、</w:t>
      </w:r>
      <w:r>
        <w:rPr>
          <w:rFonts w:hint="eastAsia" w:ascii="Times New Roman" w:hAnsi="Times New Roman" w:eastAsia="黑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赛保障</w:t>
      </w:r>
    </w:p>
    <w:p>
      <w:pPr>
        <w:spacing w:line="560" w:lineRule="exact"/>
        <w:ind w:firstLine="640" w:firstLineChars="200"/>
        <w:rPr>
          <w:rFonts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Times New Roman" w:hAnsi="Times New Roman" w:eastAsia="楷体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赛安全保障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.赛场建立与公安、消防、交通、卫生、食品、防疫、质检等相关部门的协调机制，保证比赛安全，制定应急预案，及时处理突发事件。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竞赛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组委会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办公室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在赛前组织专人对比赛现场、住宿场所交通、后勤保障等方面进行考察，并对安全工作提出明确要求。赛场布置和设备设施安装应符合国家有关安全规定。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.赛场周围设立警戒线，防止无关人员进入发生意外事件。在具有危险性的操作环境，裁判人员及时制止选手出现危险操作的行为，确保人身安全。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.选手在参赛过程中严格遵守安全操作规程，听从裁判指挥，如遇紧急情况，应立即停止操作。</w:t>
      </w:r>
    </w:p>
    <w:p>
      <w:pPr>
        <w:spacing w:line="560" w:lineRule="exact"/>
        <w:ind w:firstLine="640" w:firstLineChars="200"/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.赛场应向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竞赛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组委会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办公室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提供设施设备安全验收报告和消防应急预案。赛场应提供应急医疗措施和消防安全措施。</w:t>
      </w:r>
    </w:p>
    <w:p>
      <w:pPr>
        <w:spacing w:line="560" w:lineRule="exact"/>
        <w:ind w:firstLine="640" w:firstLineChars="200"/>
        <w:rPr>
          <w:rFonts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Times New Roman" w:hAnsi="Times New Roman" w:eastAsia="楷体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赛组织保障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1.赛场为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赛选手、领队、裁判员、媒体以及工作人员提供相应的生活服务和后勤保障。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2.赛场设备采购或供应方为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赛设施设备、软件系统提供调试、保养、维护等服务，确保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竞赛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顺利进行。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3.赛场对赛场区域的外围设置隔离警戒，并做好选手参赛和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竞赛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参观、采访、视察人员的引导服务。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4.赛场设置选手检录区、候赛区、嘉宾休息区、媒体工作室、裁判员室、仲裁室、赛事观摩区、医疗服务区、生活补给区、垃圾分类回收区和卫生间等，注意确保裁判人员和选手相对独立，确保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赛安全、有序、绿色、高效。</w:t>
      </w:r>
    </w:p>
    <w:p>
      <w:pPr>
        <w:pStyle w:val="13"/>
        <w:spacing w:line="560" w:lineRule="exact"/>
        <w:ind w:firstLine="320" w:firstLineChars="100"/>
        <w:outlineLvl w:val="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八、其它说明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2023年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山东省交通运输行业职业技能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竞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赛组委会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办公室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设在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山东省交通运输事业服务中心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。联系人：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邵辉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，电话：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0531-51762783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（二）技术方案实施过程中如有问题，请与技术专家组联系。</w:t>
      </w:r>
      <w:r>
        <w:rPr>
          <w:rFonts w:eastAsia="仿宋_GB2312"/>
          <w:sz w:val="32"/>
          <w:szCs w:val="32"/>
          <w:highlight w:val="none"/>
        </w:rPr>
        <w:t>联系人：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孟凡涛，电话：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13864697549。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（三）本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赛决赛设备型号和参数详见附件5。</w:t>
      </w:r>
      <w:r>
        <w:rPr>
          <w:rFonts w:hint="eastAsia" w:eastAsia="仿宋_GB2312"/>
          <w:sz w:val="32"/>
          <w:szCs w:val="32"/>
          <w:lang w:val="en-US" w:eastAsia="zh-CN"/>
        </w:rPr>
        <w:t>比赛队伍自带设备的，组委会不再为其提供比赛设备</w:t>
      </w:r>
      <w:r>
        <w:rPr>
          <w:rFonts w:hint="eastAsia" w:eastAsia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（四）本方案为暂定方案，鼓励各学校参照此方案进行预赛，预赛中发现问题请及时向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竞赛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组委会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办公室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反馈。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竞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赛最终方案如有变化，将于总决赛前对外公布。</w:t>
      </w:r>
    </w:p>
    <w:p>
      <w:pPr>
        <w:spacing w:line="560" w:lineRule="exact"/>
        <w:outlineLvl w:val="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</w:p>
    <w:p>
      <w:pPr>
        <w:widowControl/>
        <w:adjustRightInd w:val="0"/>
        <w:spacing w:after="312" w:afterLines="100" w:line="560" w:lineRule="exact"/>
        <w:jc w:val="center"/>
        <w:outlineLvl w:val="0"/>
        <w:rPr>
          <w:rFonts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理论知识竞赛技术方案</w:t>
      </w:r>
    </w:p>
    <w:p>
      <w:pPr>
        <w:spacing w:line="56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一、竞赛程序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1.参赛选手在机房外按照抽签号有序等待进入竞赛场地。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2.在身份信息检录处出示参赛证、身份证等竞赛相关证件进行身份信息检录并确认座位号码。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3.信息检录完毕后进入机房，并按照座位号码对号入座后将证件放置在桌面左上角以备查验。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4.按照计算机提示进入竞赛页面开始竞赛。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5.答题完毕后按照计算机提示结束竞赛并举手示意，得到允许后离开考务区。</w:t>
      </w:r>
    </w:p>
    <w:p>
      <w:pPr>
        <w:spacing w:line="56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二、评判标准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理论竞赛采用闭卷机考（系统随机抽题）的方式进行，限定时间为60分钟。题型包括：单选题、多选题，其中单项选择题70题，每题1分；多项选择题20题，每题1.5分。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每支参赛队的所有队员均需参加理论知识竞赛，团队平均成绩作为该参赛团队理论知识竞赛最终成绩。</w:t>
      </w:r>
    </w:p>
    <w:p>
      <w:pPr>
        <w:spacing w:line="560" w:lineRule="exact"/>
        <w:ind w:firstLine="640" w:firstLineChars="200"/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如参赛队员出现作弊、违反公平竞赛规则等情况，该队员的本项比赛成绩以0分计。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eastAsia="黑体"/>
          <w:sz w:val="32"/>
          <w:szCs w:val="32"/>
          <w:lang w:eastAsia="zh-CN"/>
        </w:rPr>
      </w:pPr>
      <w:bookmarkStart w:id="0" w:name="_Hlk72586068"/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eastAsia="仿宋_GB2312"/>
          <w:sz w:val="32"/>
          <w:szCs w:val="32"/>
          <w:lang w:val="en-US" w:eastAsia="zh-CN"/>
        </w:rPr>
        <w:t>2</w:t>
      </w:r>
    </w:p>
    <w:p>
      <w:pPr>
        <w:widowControl/>
        <w:adjustRightInd w:val="0"/>
        <w:spacing w:line="560" w:lineRule="exact"/>
        <w:jc w:val="center"/>
        <w:outlineLvl w:val="0"/>
        <w:rPr>
          <w:rFonts w:eastAsia="方正小标宋_GBK"/>
          <w:sz w:val="44"/>
          <w:szCs w:val="44"/>
          <w:highlight w:val="green"/>
        </w:rPr>
      </w:pPr>
      <w:r>
        <w:rPr>
          <w:rFonts w:hint="eastAsia" w:eastAsia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Times New Roman" w:hAnsi="Times New Roman" w:eastAsia="方正小标宋_GBK" w:cs="Times New Roman"/>
          <w:sz w:val="44"/>
          <w:szCs w:val="44"/>
        </w:rPr>
        <w:t>隧道衬砌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缺陷</w:t>
      </w:r>
      <w:r>
        <w:rPr>
          <w:rFonts w:hint="eastAsia" w:ascii="Times New Roman" w:hAnsi="Times New Roman" w:eastAsia="方正小标宋_GBK" w:cs="Times New Roman"/>
          <w:sz w:val="44"/>
          <w:szCs w:val="44"/>
        </w:rPr>
        <w:t>无损检测</w:t>
      </w:r>
      <w:r>
        <w:rPr>
          <w:rFonts w:ascii="Times New Roman" w:hAnsi="Times New Roman" w:eastAsia="方正小标宋_GBK" w:cs="Times New Roman"/>
          <w:sz w:val="44"/>
          <w:szCs w:val="44"/>
        </w:rPr>
        <w:t>竞赛项目</w:t>
      </w:r>
      <w:r>
        <w:rPr>
          <w:rFonts w:hint="eastAsia" w:ascii="Times New Roman" w:hAnsi="Times New Roman" w:eastAsia="方正小标宋_GBK" w:cs="Times New Roman"/>
          <w:sz w:val="44"/>
          <w:szCs w:val="44"/>
        </w:rPr>
        <w:t>实施细则</w:t>
      </w:r>
    </w:p>
    <w:p>
      <w:pPr>
        <w:widowControl/>
        <w:adjustRightInd w:val="0"/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一、竞赛流程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1.参赛选手及指导教师（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领队</w:t>
      </w:r>
      <w:r>
        <w:rPr>
          <w:rFonts w:hint="eastAsia" w:ascii="仿宋_GB2312" w:eastAsia="仿宋_GB2312"/>
          <w:sz w:val="32"/>
          <w:szCs w:val="32"/>
        </w:rPr>
        <w:t>）提前30分钟到达检录区，有序出示参赛证、身份证等竞赛相关证件进行身份信息检录，自带设备队伍需签署《自带设备责任承诺书》（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附件6</w:t>
      </w:r>
      <w:r>
        <w:rPr>
          <w:rFonts w:hint="eastAsia" w:ascii="仿宋_GB2312" w:eastAsia="仿宋_GB2312"/>
          <w:sz w:val="32"/>
          <w:szCs w:val="32"/>
        </w:rPr>
        <w:t>），检录完成后有序进入候赛区不得随意离开。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2.选手进入赛场前10分钟，抽签确定竞赛工位号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3.到达竞赛工位号后，领取器具设备、文件袋（里面有相关任务书、报告表、草稿纸等资料）。</w:t>
      </w:r>
    </w:p>
    <w:p>
      <w:pPr>
        <w:widowControl/>
        <w:adjustRightInd w:val="0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4.不得带任何通讯工具进入比赛场地。</w:t>
      </w:r>
    </w:p>
    <w:p>
      <w:pPr>
        <w:widowControl/>
        <w:adjustRightInd w:val="0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5.比赛结束当场提交成果给现场</w:t>
      </w:r>
      <w:r>
        <w:rPr>
          <w:rFonts w:hint="default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裁判，本赛项计时结束</w:t>
      </w:r>
      <w:r>
        <w:rPr>
          <w:rFonts w:hint="default" w:ascii="仿宋_GB2312" w:hAnsi="Times New Roman" w:eastAsia="仿宋_GB2312" w:cs="仿宋_GB2312"/>
          <w:kern w:val="2"/>
          <w:sz w:val="32"/>
          <w:szCs w:val="32"/>
          <w:lang w:eastAsia="zh-CN" w:bidi="ar"/>
        </w:rPr>
        <w:t>，选手有序退出赛场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widowControl/>
        <w:adjustRightInd w:val="0"/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二、竞赛时间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竞赛限时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0分钟，裁判宣布限时已到，应立即停止操作，提交成果，在已完成的基础上进行评分，超时操作或不提交成果该项目得0分。</w:t>
      </w:r>
    </w:p>
    <w:p>
      <w:pPr>
        <w:widowControl/>
        <w:adjustRightInd w:val="0"/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三、竞赛内容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1、每队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3名</w:t>
      </w:r>
      <w:r>
        <w:rPr>
          <w:rFonts w:hint="eastAsia" w:ascii="仿宋_GB2312" w:eastAsia="仿宋_GB2312"/>
          <w:sz w:val="32"/>
          <w:szCs w:val="32"/>
        </w:rPr>
        <w:t>选手，配合作业，每支参赛队在规定时间内</w:t>
      </w:r>
      <w:r>
        <w:rPr>
          <w:rFonts w:hint="default" w:ascii="仿宋_GB2312" w:eastAsia="仿宋_GB2312"/>
          <w:sz w:val="32"/>
          <w:szCs w:val="32"/>
        </w:rPr>
        <w:t>，根据现场提供的任务书，</w:t>
      </w:r>
      <w:r>
        <w:rPr>
          <w:rFonts w:hint="eastAsia" w:ascii="仿宋_GB2312" w:eastAsia="仿宋_GB2312"/>
          <w:sz w:val="32"/>
          <w:szCs w:val="32"/>
        </w:rPr>
        <w:t>对模拟隧道衬砌的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缺陷</w:t>
      </w:r>
      <w:r>
        <w:rPr>
          <w:rFonts w:hint="eastAsia" w:ascii="仿宋_GB2312" w:eastAsia="仿宋_GB2312"/>
          <w:sz w:val="32"/>
          <w:szCs w:val="32"/>
        </w:rPr>
        <w:t>采用电磁波反射法（地质雷达法）、冲击回波（声频）法、敲击法等完成隧道衬砌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缺陷</w:t>
      </w:r>
      <w:r>
        <w:rPr>
          <w:rFonts w:hint="eastAsia" w:ascii="仿宋_GB2312" w:eastAsia="仿宋_GB2312"/>
          <w:sz w:val="32"/>
          <w:szCs w:val="32"/>
        </w:rPr>
        <w:t>无损检测数据采集、记录、计算、报告填写等，准确判定缺陷有无、位置、大小、埋深等,并填写《隧道衬砌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缺陷</w:t>
      </w:r>
      <w:r>
        <w:rPr>
          <w:rFonts w:hint="eastAsia" w:ascii="仿宋_GB2312" w:eastAsia="仿宋_GB2312"/>
          <w:sz w:val="32"/>
          <w:szCs w:val="32"/>
        </w:rPr>
        <w:t>无损检测报告》（附表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</w:rPr>
        <w:t>-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），提交电子数据及检测成果报告。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2、隧道衬砌模型为C40混凝土，模型长3.2m，宽2.0m，厚0.4m。检测区间长3.0m，宽1.8m，被分成0.6m*0.6m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共</w:t>
      </w:r>
      <w:r>
        <w:rPr>
          <w:rFonts w:hint="eastAsia" w:ascii="仿宋_GB2312" w:eastAsia="仿宋_GB2312"/>
          <w:sz w:val="32"/>
          <w:szCs w:val="32"/>
        </w:rPr>
        <w:t>15个分区，检测区间内给定坐标原点、横向中心测线及其测点等，15个分区内设置有6个矩形缺陷，缺陷大小、埋深不一。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3、关于有无缺陷、缺陷位置、缺陷大小、缺陷埋深描述要求：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1）有无缺陷：将判定有缺陷的分区编号记录到报告中。</w:t>
      </w:r>
    </w:p>
    <w:p>
      <w:pPr>
        <w:spacing w:line="560" w:lineRule="exact"/>
        <w:ind w:firstLine="640" w:firstLineChars="200"/>
        <w:rPr>
          <w:rFonts w:hint="eastAsia"/>
        </w:rPr>
      </w:pPr>
      <w:r>
        <w:rPr>
          <w:rFonts w:hint="eastAsia" w:ascii="仿宋_GB2312" w:eastAsia="仿宋_GB2312"/>
          <w:sz w:val="32"/>
          <w:szCs w:val="32"/>
        </w:rPr>
        <w:t>2）缺陷位置：每个缺陷的中心坐标记录到报告</w:t>
      </w:r>
      <w:r>
        <w:rPr>
          <w:rFonts w:hint="eastAsia" w:ascii="仿宋_GB2312" w:hAnsi="Times New Roman" w:eastAsia="仿宋_GB2312" w:cs="Times New Roman"/>
          <w:sz w:val="32"/>
          <w:szCs w:val="32"/>
        </w:rPr>
        <w:t>中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精确到1cm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3）缺陷大小：以缺陷纵横向长度描述（精确到1cm），并计算其面积（精确到1cm</w:t>
      </w:r>
      <w:r>
        <w:rPr>
          <w:rFonts w:hint="eastAsia" w:ascii="仿宋_GB2312" w:eastAsia="仿宋_GB2312"/>
          <w:sz w:val="32"/>
          <w:szCs w:val="32"/>
          <w:vertAlign w:val="superscript"/>
        </w:rPr>
        <w:t>2</w:t>
      </w:r>
      <w:r>
        <w:rPr>
          <w:rFonts w:hint="eastAsia" w:ascii="仿宋_GB2312" w:eastAsia="仿宋_GB2312"/>
          <w:sz w:val="32"/>
          <w:szCs w:val="32"/>
        </w:rPr>
        <w:t>）。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4）缺陷埋深：分定性判定和定量测定。每个缺陷需要定性判定其为深缺陷或浅缺陷（埋深不超过10cm为浅缺陷），深缺陷需要定量测定其埋深（精确到1cm）。</w:t>
      </w:r>
    </w:p>
    <w:p>
      <w:pPr>
        <w:spacing w:line="560" w:lineRule="exact"/>
        <w:ind w:firstLine="640" w:firstLineChars="200"/>
      </w:pPr>
      <w:r>
        <w:rPr>
          <w:rFonts w:hint="eastAsia" w:ascii="仿宋_GB2312" w:eastAsia="仿宋_GB2312"/>
          <w:sz w:val="32"/>
          <w:szCs w:val="32"/>
        </w:rPr>
        <w:t>4、定量检测缺陷埋深时，需要在厚度已知区域对波速进行标定。</w:t>
      </w:r>
    </w:p>
    <w:p>
      <w:pPr>
        <w:widowControl/>
        <w:adjustRightInd w:val="0"/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四、设备、工具、材料</w:t>
      </w:r>
    </w:p>
    <w:p>
      <w:pPr>
        <w:widowControl/>
        <w:adjustRightInd w:val="0"/>
        <w:spacing w:line="560" w:lineRule="exact"/>
        <w:ind w:firstLine="640" w:firstLineChars="200"/>
      </w:pPr>
      <w:r>
        <w:rPr>
          <w:rFonts w:hint="eastAsia" w:ascii="仿宋_GB2312" w:eastAsia="仿宋_GB2312"/>
          <w:sz w:val="32"/>
          <w:szCs w:val="32"/>
        </w:rPr>
        <w:t>所用到的设备（选手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也</w:t>
      </w:r>
      <w:r>
        <w:rPr>
          <w:rFonts w:hint="eastAsia" w:ascii="仿宋_GB2312" w:eastAsia="仿宋_GB2312"/>
          <w:sz w:val="32"/>
          <w:szCs w:val="32"/>
        </w:rPr>
        <w:t>可自带）、工具、材料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组织方</w:t>
      </w:r>
      <w:r>
        <w:rPr>
          <w:rFonts w:hint="eastAsia" w:ascii="仿宋_GB2312" w:eastAsia="仿宋_GB2312"/>
          <w:sz w:val="32"/>
          <w:szCs w:val="32"/>
        </w:rPr>
        <w:t>提供，见附表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</w:rPr>
        <w:t>-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pStyle w:val="2"/>
      </w:pPr>
    </w:p>
    <w:p>
      <w:pPr>
        <w:widowControl/>
        <w:adjustRightInd w:val="0"/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五、场地布设</w:t>
      </w:r>
    </w:p>
    <w:p>
      <w:pPr>
        <w:widowControl/>
        <w:adjustRightInd w:val="0"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现场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设</w:t>
      </w:r>
      <w:r>
        <w:rPr>
          <w:rFonts w:hint="eastAsia" w:ascii="仿宋_GB2312" w:eastAsia="仿宋_GB2312"/>
          <w:sz w:val="32"/>
          <w:szCs w:val="32"/>
        </w:rPr>
        <w:t>检录区、等候区、比赛区。各区用安全锥与警示带分隔开，每个区都有醒目的指示牌。选手按现场工作人员指示有序进入相应区域。</w:t>
      </w:r>
    </w:p>
    <w:p>
      <w:pPr>
        <w:pStyle w:val="2"/>
      </w:pPr>
    </w:p>
    <w:p>
      <w:pPr>
        <w:widowControl/>
        <w:adjustRightInd w:val="0"/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六、评分规则</w:t>
      </w:r>
    </w:p>
    <w:p>
      <w:pPr>
        <w:widowControl/>
        <w:adjustRightInd w:val="0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参赛队伍在完成测试、记录、分析后形成报告，向</w:t>
      </w:r>
      <w:r>
        <w:rPr>
          <w:rFonts w:hint="default" w:ascii="仿宋_GB2312" w:eastAsia="仿宋_GB2312"/>
          <w:sz w:val="32"/>
          <w:szCs w:val="32"/>
        </w:rPr>
        <w:t>现场裁判</w:t>
      </w:r>
      <w:r>
        <w:rPr>
          <w:rFonts w:hint="eastAsia" w:ascii="仿宋_GB2312" w:eastAsia="仿宋_GB2312"/>
          <w:sz w:val="32"/>
          <w:szCs w:val="32"/>
        </w:rPr>
        <w:t>提交比赛成果，</w:t>
      </w:r>
      <w:r>
        <w:rPr>
          <w:rFonts w:hint="default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裁判组根据各参赛队现场操作的规范性和提交的成果进行评分</w:t>
      </w:r>
      <w:r>
        <w:rPr>
          <w:rFonts w:hint="eastAsia" w:ascii="仿宋_GB2312" w:eastAsia="仿宋_GB2312"/>
          <w:sz w:val="32"/>
          <w:szCs w:val="32"/>
        </w:rPr>
        <w:t>，见附表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</w:rPr>
        <w:t>-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pStyle w:val="2"/>
        <w:ind w:firstLine="0"/>
        <w:sectPr>
          <w:pgSz w:w="11906" w:h="16838"/>
          <w:pgMar w:top="1985" w:right="1588" w:bottom="1985" w:left="1588" w:header="851" w:footer="992" w:gutter="0"/>
          <w:cols w:space="720" w:num="1"/>
          <w:docGrid w:type="lines" w:linePitch="312" w:charSpace="0"/>
        </w:sectPr>
      </w:pPr>
    </w:p>
    <w:p>
      <w:pPr>
        <w:spacing w:line="560" w:lineRule="exact"/>
        <w:rPr>
          <w:rFonts w:hint="default" w:ascii="黑体" w:hAnsi="黑体" w:eastAsia="黑体" w:cs="Times New Roman"/>
          <w:sz w:val="28"/>
          <w:szCs w:val="28"/>
          <w:lang w:val="en-US" w:eastAsia="zh-CN"/>
        </w:rPr>
      </w:pPr>
      <w:r>
        <w:rPr>
          <w:rFonts w:hint="eastAsia" w:ascii="黑体" w:hAnsi="黑体" w:eastAsia="黑体" w:cs="Times New Roman"/>
          <w:sz w:val="28"/>
          <w:szCs w:val="28"/>
        </w:rPr>
        <w:t>附表</w:t>
      </w:r>
      <w:r>
        <w:rPr>
          <w:rFonts w:hint="eastAsia" w:ascii="黑体" w:hAnsi="黑体" w:eastAsia="黑体" w:cs="Times New Roman"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Times New Roman"/>
          <w:sz w:val="28"/>
          <w:szCs w:val="28"/>
        </w:rPr>
        <w:t>-</w:t>
      </w:r>
      <w:r>
        <w:rPr>
          <w:rFonts w:hint="eastAsia" w:ascii="黑体" w:hAnsi="黑体" w:eastAsia="黑体" w:cs="Times New Roman"/>
          <w:sz w:val="28"/>
          <w:szCs w:val="28"/>
          <w:lang w:val="en-US" w:eastAsia="zh-CN"/>
        </w:rPr>
        <w:t>1</w:t>
      </w:r>
      <w:r>
        <w:rPr>
          <w:rFonts w:hint="eastAsia" w:ascii="黑体" w:hAnsi="黑体" w:eastAsia="黑体" w:cs="Times New Roman"/>
          <w:sz w:val="28"/>
          <w:szCs w:val="28"/>
        </w:rPr>
        <w:t xml:space="preserve"> 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560" w:lineRule="exact"/>
        <w:ind w:left="0" w:right="0" w:hanging="361" w:hangingChars="100"/>
        <w:jc w:val="center"/>
        <w:textAlignment w:val="auto"/>
        <w:rPr>
          <w:rFonts w:hint="eastAsia" w:ascii="方正小标宋简体" w:hAnsi="黑体" w:eastAsia="方正小标宋简体" w:cs="Times New Roman"/>
          <w:b/>
          <w:bCs/>
          <w:sz w:val="36"/>
          <w:lang w:val="en-US" w:eastAsia="zh-CN"/>
        </w:rPr>
      </w:pPr>
      <w:r>
        <w:rPr>
          <w:rFonts w:hint="eastAsia" w:ascii="方正小标宋简体" w:hAnsi="黑体" w:eastAsia="方正小标宋简体" w:cs="Times New Roman"/>
          <w:b/>
          <w:bCs/>
          <w:sz w:val="36"/>
          <w:lang w:val="en-US" w:eastAsia="zh-CN"/>
        </w:rPr>
        <w:t>隧道衬砌缺陷无损检测报告</w:t>
      </w:r>
    </w:p>
    <w:tbl>
      <w:tblPr>
        <w:tblStyle w:val="38"/>
        <w:tblW w:w="10585" w:type="dxa"/>
        <w:tblInd w:w="-74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5"/>
        <w:gridCol w:w="917"/>
        <w:gridCol w:w="1004"/>
        <w:gridCol w:w="1340"/>
        <w:gridCol w:w="1380"/>
        <w:gridCol w:w="1810"/>
        <w:gridCol w:w="2109"/>
        <w:gridCol w:w="24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680" w:hRule="atLeast"/>
        </w:trPr>
        <w:tc>
          <w:tcPr>
            <w:tcW w:w="270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参赛队编号</w:t>
            </w:r>
          </w:p>
        </w:tc>
        <w:tc>
          <w:tcPr>
            <w:tcW w:w="2344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1380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竞赛工位</w:t>
            </w:r>
          </w:p>
        </w:tc>
        <w:tc>
          <w:tcPr>
            <w:tcW w:w="3919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680" w:hRule="atLeast"/>
        </w:trPr>
        <w:tc>
          <w:tcPr>
            <w:tcW w:w="2702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模型编号</w:t>
            </w:r>
          </w:p>
        </w:tc>
        <w:tc>
          <w:tcPr>
            <w:tcW w:w="23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检测日期</w:t>
            </w:r>
          </w:p>
        </w:tc>
        <w:tc>
          <w:tcPr>
            <w:tcW w:w="39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680" w:hRule="atLeast"/>
        </w:trPr>
        <w:tc>
          <w:tcPr>
            <w:tcW w:w="2702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检测方法</w:t>
            </w:r>
          </w:p>
        </w:tc>
        <w:tc>
          <w:tcPr>
            <w:tcW w:w="23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检测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依据</w:t>
            </w:r>
          </w:p>
        </w:tc>
        <w:tc>
          <w:tcPr>
            <w:tcW w:w="39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680" w:hRule="atLeast"/>
        </w:trPr>
        <w:tc>
          <w:tcPr>
            <w:tcW w:w="2702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检测设备编号</w:t>
            </w:r>
          </w:p>
        </w:tc>
        <w:tc>
          <w:tcPr>
            <w:tcW w:w="234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标定波速（km/s）</w:t>
            </w:r>
          </w:p>
        </w:tc>
        <w:tc>
          <w:tcPr>
            <w:tcW w:w="391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57" w:hRule="atLeast"/>
        </w:trPr>
        <w:tc>
          <w:tcPr>
            <w:tcW w:w="1785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有缺陷分区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编号</w:t>
            </w:r>
          </w:p>
        </w:tc>
        <w:tc>
          <w:tcPr>
            <w:tcW w:w="192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缺陷定位</w:t>
            </w:r>
          </w:p>
        </w:tc>
        <w:tc>
          <w:tcPr>
            <w:tcW w:w="27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缺陷大小</w:t>
            </w:r>
          </w:p>
        </w:tc>
        <w:tc>
          <w:tcPr>
            <w:tcW w:w="3919" w:type="dxa"/>
            <w:gridSpan w:val="2"/>
            <w:tcBorders>
              <w:top w:val="nil"/>
              <w:left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highlight w:val="none"/>
              </w:rPr>
              <w:t>缺陷埋深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57" w:hRule="atLeast"/>
        </w:trPr>
        <w:tc>
          <w:tcPr>
            <w:tcW w:w="1785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192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中心点坐标（cm）</w:t>
            </w:r>
          </w:p>
        </w:tc>
        <w:tc>
          <w:tcPr>
            <w:tcW w:w="13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X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Y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方向长度(cm)</w:t>
            </w:r>
          </w:p>
        </w:tc>
        <w:tc>
          <w:tcPr>
            <w:tcW w:w="13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缺陷面积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(cm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vertAlign w:val="superscript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)</w:t>
            </w:r>
          </w:p>
        </w:tc>
        <w:tc>
          <w:tcPr>
            <w:tcW w:w="18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定性判定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(深/浅)</w:t>
            </w:r>
          </w:p>
        </w:tc>
        <w:tc>
          <w:tcPr>
            <w:tcW w:w="21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定量测定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(cm)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57" w:hRule="atLeast"/>
        </w:trPr>
        <w:tc>
          <w:tcPr>
            <w:tcW w:w="1785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X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Y</w:t>
            </w:r>
          </w:p>
        </w:tc>
        <w:tc>
          <w:tcPr>
            <w:tcW w:w="13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1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181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21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321" w:hRule="atLeast"/>
        </w:trPr>
        <w:tc>
          <w:tcPr>
            <w:tcW w:w="17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8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10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57" w:hRule="atLeast"/>
        </w:trPr>
        <w:tc>
          <w:tcPr>
            <w:tcW w:w="17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10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57" w:hRule="atLeast"/>
        </w:trPr>
        <w:tc>
          <w:tcPr>
            <w:tcW w:w="17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10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57" w:hRule="atLeast"/>
        </w:trPr>
        <w:tc>
          <w:tcPr>
            <w:tcW w:w="17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10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57" w:hRule="atLeast"/>
        </w:trPr>
        <w:tc>
          <w:tcPr>
            <w:tcW w:w="17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10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57" w:hRule="atLeast"/>
        </w:trPr>
        <w:tc>
          <w:tcPr>
            <w:tcW w:w="17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10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57" w:hRule="atLeast"/>
        </w:trPr>
        <w:tc>
          <w:tcPr>
            <w:tcW w:w="17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10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57" w:hRule="atLeast"/>
        </w:trPr>
        <w:tc>
          <w:tcPr>
            <w:tcW w:w="1785" w:type="dxa"/>
            <w:tcBorders>
              <w:top w:val="nil"/>
              <w:left w:val="single" w:color="auto" w:sz="8" w:space="0"/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57" w:hRule="atLeast"/>
        </w:trPr>
        <w:tc>
          <w:tcPr>
            <w:tcW w:w="10345" w:type="dxa"/>
            <w:gridSpan w:val="7"/>
            <w:tcBorders>
              <w:top w:val="single" w:color="auto" w:sz="4" w:space="0"/>
              <w:left w:val="single" w:color="auto" w:sz="8" w:space="0"/>
              <w:bottom w:val="nil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 xml:space="preserve">  缺陷位置示意图（应包含方位信息、检测区间分区号，坐标原点，缺陷中心坐标，缺陷X轴Y轴方向长度等）：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0" w:type="dxa"/>
          <w:trHeight w:val="312" w:hRule="atLeast"/>
        </w:trPr>
        <w:tc>
          <w:tcPr>
            <w:tcW w:w="10345" w:type="dxa"/>
            <w:gridSpan w:val="7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highlight w:val="gree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0345" w:type="dxa"/>
            <w:gridSpan w:val="7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highlight w:val="gree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highlight w:val="gree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0345" w:type="dxa"/>
            <w:gridSpan w:val="7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highlight w:val="gree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0345" w:type="dxa"/>
            <w:gridSpan w:val="7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highlight w:val="gree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0345" w:type="dxa"/>
            <w:gridSpan w:val="7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highlight w:val="gree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0345" w:type="dxa"/>
            <w:gridSpan w:val="7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highlight w:val="gree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0345" w:type="dxa"/>
            <w:gridSpan w:val="7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highlight w:val="gree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0345" w:type="dxa"/>
            <w:gridSpan w:val="7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highlight w:val="gree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0345" w:type="dxa"/>
            <w:gridSpan w:val="7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highlight w:val="gree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0345" w:type="dxa"/>
            <w:gridSpan w:val="7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highlight w:val="gree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</w:trPr>
        <w:tc>
          <w:tcPr>
            <w:tcW w:w="10345" w:type="dxa"/>
            <w:gridSpan w:val="7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2"/>
                <w:szCs w:val="22"/>
                <w:highlight w:val="gree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  <w:tc>
          <w:tcPr>
            <w:tcW w:w="2720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righ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</w:rPr>
              <w:t>参赛队编号：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righ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</w:rPr>
              <w:t xml:space="preserve">                                       </w:t>
            </w: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righ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</w:rPr>
              <w:t xml:space="preserve">　                      </w:t>
            </w:r>
          </w:p>
        </w:tc>
        <w:tc>
          <w:tcPr>
            <w:tcW w:w="240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</w:tr>
      <w:tr>
        <w:trPr>
          <w:trHeight w:val="57" w:hRule="atLeast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  <w:tc>
          <w:tcPr>
            <w:tcW w:w="2720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righ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</w:rPr>
              <w:t>裁判签字：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righ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</w:rPr>
              <w:t xml:space="preserve">                       </w:t>
            </w: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righ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</w:rPr>
              <w:t xml:space="preserve">                       </w:t>
            </w:r>
          </w:p>
        </w:tc>
        <w:tc>
          <w:tcPr>
            <w:tcW w:w="240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0"/>
                <w:szCs w:val="20"/>
                <w:highlight w:val="green"/>
              </w:rPr>
            </w:pPr>
          </w:p>
        </w:tc>
      </w:tr>
    </w:tbl>
    <w:p>
      <w:pPr>
        <w:rPr>
          <w:highlight w:val="green"/>
        </w:rPr>
      </w:pPr>
      <w:r>
        <w:rPr>
          <w:rFonts w:hint="eastAsia"/>
          <w:highlight w:val="green"/>
        </w:rPr>
        <w:br w:type="page"/>
      </w:r>
    </w:p>
    <w:p>
      <w:pPr>
        <w:spacing w:line="560" w:lineRule="exact"/>
        <w:rPr>
          <w:rFonts w:hint="eastAsia" w:ascii="黑体" w:hAnsi="黑体" w:eastAsia="黑体" w:cs="Times New Roman"/>
          <w:sz w:val="28"/>
          <w:szCs w:val="28"/>
        </w:rPr>
        <w:sectPr>
          <w:footerReference r:id="rId3" w:type="default"/>
          <w:footerReference r:id="rId4" w:type="even"/>
          <w:pgSz w:w="11906" w:h="16838"/>
          <w:pgMar w:top="1417" w:right="1588" w:bottom="1417" w:left="1588" w:header="851" w:footer="992" w:gutter="0"/>
          <w:cols w:space="720" w:num="1"/>
          <w:docGrid w:type="lines" w:linePitch="312" w:charSpace="0"/>
        </w:sectPr>
      </w:pPr>
    </w:p>
    <w:p>
      <w:pPr>
        <w:spacing w:line="560" w:lineRule="exact"/>
        <w:rPr>
          <w:rFonts w:hint="eastAsia"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附表</w:t>
      </w:r>
      <w:r>
        <w:rPr>
          <w:rFonts w:hint="eastAsia" w:ascii="黑体" w:hAnsi="黑体" w:eastAsia="黑体" w:cs="Times New Roman"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Times New Roman"/>
          <w:sz w:val="28"/>
          <w:szCs w:val="28"/>
        </w:rPr>
        <w:t>-</w:t>
      </w:r>
      <w:r>
        <w:rPr>
          <w:rFonts w:hint="eastAsia" w:ascii="黑体" w:hAnsi="黑体" w:eastAsia="黑体" w:cs="Times New Roman"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Times New Roman"/>
          <w:sz w:val="28"/>
          <w:szCs w:val="28"/>
        </w:rPr>
        <w:t xml:space="preserve"> </w:t>
      </w:r>
    </w:p>
    <w:p>
      <w:pPr>
        <w:pStyle w:val="13"/>
        <w:spacing w:after="312" w:afterLines="100" w:line="560" w:lineRule="exact"/>
        <w:ind w:left="361" w:right="510" w:hanging="361" w:hangingChars="100"/>
        <w:jc w:val="center"/>
        <w:rPr>
          <w:rFonts w:hint="eastAsia" w:ascii="方正小标宋简体" w:hAnsi="黑体" w:eastAsia="方正小标宋简体" w:cs="Times New Roman"/>
          <w:b/>
          <w:bCs/>
          <w:sz w:val="36"/>
          <w:lang w:val="en-US" w:eastAsia="zh-CN"/>
        </w:rPr>
      </w:pPr>
      <w:r>
        <w:rPr>
          <w:rFonts w:hint="eastAsia" w:ascii="方正小标宋简体" w:hAnsi="黑体" w:eastAsia="方正小标宋简体" w:cs="Times New Roman"/>
          <w:b/>
          <w:bCs/>
          <w:sz w:val="36"/>
          <w:lang w:val="en-US" w:eastAsia="zh-CN"/>
        </w:rPr>
        <w:t>现场提供的相关器具、设备、材料清单表</w:t>
      </w:r>
    </w:p>
    <w:tbl>
      <w:tblPr>
        <w:tblStyle w:val="38"/>
        <w:tblW w:w="9749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8"/>
        <w:gridCol w:w="1677"/>
        <w:gridCol w:w="968"/>
        <w:gridCol w:w="4082"/>
        <w:gridCol w:w="216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bidi="ar"/>
              </w:rPr>
              <w:t>序号</w:t>
            </w: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bidi="ar"/>
              </w:rPr>
              <w:t>项目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bidi="ar"/>
              </w:rPr>
              <w:t>数量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bidi="ar"/>
              </w:rPr>
              <w:t>说明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  <w:lang w:bidi="ar"/>
              </w:rPr>
              <w:t>1</w:t>
            </w: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  <w:lang w:bidi="ar"/>
              </w:rPr>
              <w:t>计算器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  <w:r>
              <w:rPr>
                <w:rFonts w:hint="eastAsia"/>
                <w:sz w:val="24"/>
              </w:rPr>
              <w:t>个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  <w:lang w:bidi="ar"/>
              </w:rPr>
              <w:t>卡西欧</w:t>
            </w:r>
          </w:p>
        </w:tc>
        <w:tc>
          <w:tcPr>
            <w:tcW w:w="2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  <w:lang w:bidi="ar"/>
              </w:rPr>
              <w:t>2</w:t>
            </w: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  <w:lang w:bidi="ar"/>
              </w:rPr>
              <w:t>卷尺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 w:bidi="ar"/>
              </w:rPr>
              <w:t>6</w:t>
            </w:r>
            <w:r>
              <w:rPr>
                <w:rFonts w:hint="eastAsia"/>
                <w:sz w:val="24"/>
                <w:lang w:bidi="ar"/>
              </w:rPr>
              <w:t>把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  <w:lang w:bidi="ar"/>
              </w:rPr>
              <w:t>5m</w:t>
            </w:r>
          </w:p>
        </w:tc>
        <w:tc>
          <w:tcPr>
            <w:tcW w:w="2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  <w:lang w:bidi="ar"/>
              </w:rPr>
              <w:t>3</w:t>
            </w: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sz w:val="24"/>
                <w:lang w:bidi="ar"/>
              </w:rPr>
            </w:pPr>
            <w:r>
              <w:rPr>
                <w:rFonts w:hint="eastAsia"/>
                <w:sz w:val="24"/>
                <w:lang w:bidi="ar"/>
              </w:rPr>
              <w:t>直尺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sz w:val="24"/>
                <w:lang w:bidi="ar"/>
              </w:rPr>
            </w:pPr>
            <w:r>
              <w:rPr>
                <w:rFonts w:hint="eastAsia"/>
                <w:sz w:val="24"/>
                <w:lang w:val="en-US" w:eastAsia="zh-CN" w:bidi="ar"/>
              </w:rPr>
              <w:t>6</w:t>
            </w:r>
            <w:r>
              <w:rPr>
                <w:rFonts w:hint="eastAsia"/>
                <w:sz w:val="24"/>
                <w:lang w:bidi="ar"/>
              </w:rPr>
              <w:t>把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1m</w:t>
            </w:r>
          </w:p>
        </w:tc>
        <w:tc>
          <w:tcPr>
            <w:tcW w:w="2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val="en-US" w:eastAsia="zh-CN" w:bidi="ar"/>
              </w:rPr>
              <w:t>4</w:t>
            </w: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center"/>
              <w:rPr>
                <w:sz w:val="24"/>
                <w:lang w:bidi="ar"/>
              </w:rPr>
            </w:pPr>
            <w:r>
              <w:rPr>
                <w:rFonts w:hint="eastAsia"/>
                <w:sz w:val="24"/>
                <w:lang w:bidi="ar"/>
              </w:rPr>
              <w:t>冲击回波声频检测仪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sz w:val="24"/>
                <w:lang w:bidi="ar"/>
              </w:rPr>
            </w:pPr>
            <w:r>
              <w:rPr>
                <w:rFonts w:hint="eastAsia"/>
                <w:sz w:val="24"/>
                <w:lang w:val="en-US" w:eastAsia="zh-CN" w:bidi="ar"/>
              </w:rPr>
              <w:t>6</w:t>
            </w:r>
            <w:r>
              <w:rPr>
                <w:rFonts w:hint="eastAsia"/>
                <w:sz w:val="24"/>
                <w:lang w:bidi="ar"/>
              </w:rPr>
              <w:t>套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center"/>
              <w:rPr>
                <w:sz w:val="24"/>
                <w:lang w:bidi="ar"/>
              </w:rPr>
            </w:pPr>
            <w:r>
              <w:rPr>
                <w:rFonts w:hint="eastAsia"/>
                <w:sz w:val="24"/>
                <w:lang w:bidi="ar"/>
              </w:rPr>
              <w:t>采用冲击回波声频法检测隧道衬砌内部缺陷、埋深、厚度。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center"/>
              <w:rPr>
                <w:sz w:val="24"/>
                <w:lang w:bidi="ar"/>
              </w:rPr>
            </w:pPr>
            <w:r>
              <w:rPr>
                <w:sz w:val="24"/>
                <w:lang w:bidi="ar"/>
              </w:rPr>
              <w:t>比赛时，</w:t>
            </w:r>
            <w:r>
              <w:rPr>
                <w:rFonts w:hint="eastAsia"/>
                <w:sz w:val="24"/>
                <w:lang w:bidi="ar"/>
              </w:rPr>
              <w:t>组织方</w:t>
            </w:r>
            <w:r>
              <w:rPr>
                <w:sz w:val="24"/>
                <w:lang w:bidi="ar"/>
              </w:rPr>
              <w:t>提供仪器，名称：</w:t>
            </w:r>
            <w:r>
              <w:rPr>
                <w:rFonts w:hint="eastAsia"/>
                <w:sz w:val="24"/>
                <w:lang w:bidi="ar"/>
              </w:rPr>
              <w:t>冲击回波声频检测仪</w:t>
            </w:r>
            <w:r>
              <w:rPr>
                <w:sz w:val="24"/>
                <w:lang w:bidi="ar"/>
              </w:rPr>
              <w:t>。</w:t>
            </w:r>
          </w:p>
        </w:tc>
        <w:tc>
          <w:tcPr>
            <w:tcW w:w="2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val="en-US" w:eastAsia="zh-CN" w:bidi="ar"/>
              </w:rPr>
              <w:t>5</w:t>
            </w: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center"/>
              <w:rPr>
                <w:sz w:val="24"/>
                <w:lang w:bidi="ar"/>
              </w:rPr>
            </w:pPr>
            <w:r>
              <w:rPr>
                <w:rFonts w:hint="eastAsia"/>
                <w:sz w:val="24"/>
                <w:lang w:bidi="ar"/>
              </w:rPr>
              <w:t>探地雷达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sz w:val="24"/>
                <w:lang w:bidi="ar"/>
              </w:rPr>
            </w:pPr>
            <w:r>
              <w:rPr>
                <w:rFonts w:hint="eastAsia"/>
                <w:sz w:val="24"/>
                <w:lang w:val="en-US" w:eastAsia="zh-CN" w:bidi="ar"/>
              </w:rPr>
              <w:t>6</w:t>
            </w:r>
            <w:r>
              <w:rPr>
                <w:rFonts w:hint="eastAsia"/>
                <w:sz w:val="24"/>
                <w:lang w:bidi="ar"/>
              </w:rPr>
              <w:t>台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center"/>
              <w:rPr>
                <w:sz w:val="24"/>
                <w:lang w:bidi="ar"/>
              </w:rPr>
            </w:pPr>
            <w:r>
              <w:rPr>
                <w:rFonts w:hint="eastAsia"/>
                <w:sz w:val="24"/>
                <w:lang w:bidi="ar"/>
              </w:rPr>
              <w:t>采用电磁波</w:t>
            </w:r>
            <w:r>
              <w:rPr>
                <w:rFonts w:hint="eastAsia"/>
                <w:sz w:val="24"/>
                <w:lang w:val="en-US" w:eastAsia="zh-CN" w:bidi="ar"/>
              </w:rPr>
              <w:t>反</w:t>
            </w:r>
            <w:r>
              <w:rPr>
                <w:rFonts w:hint="eastAsia"/>
                <w:sz w:val="24"/>
                <w:lang w:bidi="ar"/>
              </w:rPr>
              <w:t>射法（地质雷达法）检测隧道衬砌内部缺陷、厚度。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center"/>
              <w:rPr>
                <w:sz w:val="24"/>
                <w:lang w:bidi="ar"/>
              </w:rPr>
            </w:pPr>
            <w:r>
              <w:rPr>
                <w:rFonts w:hint="eastAsia"/>
                <w:sz w:val="24"/>
                <w:lang w:bidi="ar"/>
              </w:rPr>
              <w:t>比赛时，组织方提供仪器，名称：探地雷达，中心天线900M</w:t>
            </w:r>
          </w:p>
        </w:tc>
        <w:tc>
          <w:tcPr>
            <w:tcW w:w="2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val="en-US" w:eastAsia="zh-CN" w:bidi="ar"/>
              </w:rPr>
              <w:t>6</w:t>
            </w: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center"/>
              <w:rPr>
                <w:sz w:val="24"/>
                <w:lang w:bidi="ar"/>
              </w:rPr>
            </w:pPr>
            <w:r>
              <w:rPr>
                <w:rFonts w:hint="eastAsia"/>
                <w:sz w:val="24"/>
                <w:lang w:bidi="ar"/>
              </w:rPr>
              <w:t>敲击式隧道衬砌缺陷检测仪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sz w:val="24"/>
                <w:lang w:bidi="ar"/>
              </w:rPr>
            </w:pPr>
            <w:r>
              <w:rPr>
                <w:rFonts w:hint="eastAsia"/>
                <w:sz w:val="24"/>
                <w:lang w:val="en-US" w:eastAsia="zh-CN" w:bidi="ar"/>
              </w:rPr>
              <w:t>6</w:t>
            </w:r>
            <w:r>
              <w:rPr>
                <w:rFonts w:hint="eastAsia"/>
                <w:sz w:val="24"/>
                <w:lang w:bidi="ar"/>
              </w:rPr>
              <w:t>套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center"/>
              <w:rPr>
                <w:sz w:val="24"/>
                <w:lang w:bidi="ar"/>
              </w:rPr>
            </w:pPr>
            <w:r>
              <w:rPr>
                <w:rFonts w:hint="eastAsia"/>
                <w:sz w:val="24"/>
                <w:lang w:bidi="ar"/>
              </w:rPr>
              <w:t>采用敲击法检测隧道衬砌浅层缺陷、脱空。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center"/>
              <w:rPr>
                <w:rFonts w:hint="eastAsia" w:eastAsia="宋体"/>
                <w:sz w:val="24"/>
                <w:lang w:val="en-US" w:eastAsia="zh-CN" w:bidi="ar"/>
              </w:rPr>
            </w:pPr>
            <w:r>
              <w:rPr>
                <w:rFonts w:hint="eastAsia"/>
                <w:sz w:val="24"/>
                <w:lang w:bidi="ar"/>
              </w:rPr>
              <w:t>比赛时，组织方提供备选仪器，名称：敲击式隧道衬砌缺陷检测仪</w:t>
            </w:r>
            <w:r>
              <w:rPr>
                <w:rFonts w:hint="eastAsia"/>
                <w:sz w:val="24"/>
                <w:lang w:eastAsia="zh-CN" w:bidi="ar"/>
              </w:rPr>
              <w:t>。</w:t>
            </w:r>
          </w:p>
        </w:tc>
        <w:tc>
          <w:tcPr>
            <w:tcW w:w="216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val="en-US" w:eastAsia="zh-CN" w:bidi="ar"/>
              </w:rPr>
              <w:t>7</w:t>
            </w: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sz w:val="24"/>
                <w:lang w:bidi="ar"/>
              </w:rPr>
            </w:pPr>
            <w:r>
              <w:rPr>
                <w:rFonts w:hint="eastAsia"/>
                <w:sz w:val="24"/>
                <w:lang w:bidi="ar"/>
              </w:rPr>
              <w:t>检测锤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center"/>
              <w:rPr>
                <w:rFonts w:hint="eastAsia"/>
                <w:sz w:val="24"/>
                <w:lang w:bidi="ar"/>
              </w:rPr>
            </w:pPr>
            <w:r>
              <w:rPr>
                <w:rFonts w:hint="eastAsia"/>
                <w:sz w:val="24"/>
                <w:lang w:val="en-US" w:eastAsia="zh-CN" w:bidi="ar"/>
              </w:rPr>
              <w:t>6</w:t>
            </w:r>
            <w:r>
              <w:rPr>
                <w:rFonts w:hint="eastAsia"/>
                <w:sz w:val="24"/>
                <w:lang w:bidi="ar"/>
              </w:rPr>
              <w:t>套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center"/>
              <w:rPr>
                <w:rFonts w:hint="eastAsia"/>
                <w:sz w:val="24"/>
                <w:lang w:bidi="ar"/>
              </w:rPr>
            </w:pPr>
            <w:r>
              <w:rPr>
                <w:rFonts w:hint="eastAsia"/>
                <w:sz w:val="24"/>
                <w:lang w:bidi="ar"/>
              </w:rPr>
              <w:t>比赛用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</w:p>
        </w:tc>
      </w:tr>
    </w:tbl>
    <w:p>
      <w:pPr>
        <w:spacing w:line="560" w:lineRule="exact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注：1、组织方提供的器具、设备、材料不得带离</w:t>
      </w:r>
      <w:r>
        <w:rPr>
          <w:rFonts w:hint="default" w:ascii="宋体" w:hAnsi="宋体" w:eastAsia="宋体" w:cs="宋体"/>
          <w:b w:val="0"/>
          <w:bCs w:val="0"/>
          <w:sz w:val="24"/>
        </w:rPr>
        <w:t>比赛</w:t>
      </w:r>
      <w:r>
        <w:rPr>
          <w:rFonts w:hint="eastAsia" w:ascii="宋体" w:hAnsi="宋体" w:eastAsia="宋体" w:cs="宋体"/>
          <w:b w:val="0"/>
          <w:bCs w:val="0"/>
          <w:sz w:val="24"/>
        </w:rPr>
        <w:t>区。</w:t>
      </w:r>
    </w:p>
    <w:p>
      <w:pPr>
        <w:spacing w:line="560" w:lineRule="exact"/>
        <w:ind w:firstLine="480" w:firstLineChars="200"/>
      </w:pPr>
      <w:r>
        <w:rPr>
          <w:rFonts w:hint="eastAsia" w:ascii="宋体" w:hAnsi="宋体" w:eastAsia="宋体" w:cs="宋体"/>
          <w:b w:val="0"/>
          <w:bCs w:val="0"/>
          <w:sz w:val="24"/>
        </w:rPr>
        <w:t>2、表中相关器具、设备、材料具体数量根据参赛队伍确定调整。</w:t>
      </w:r>
    </w:p>
    <w:p>
      <w:pPr>
        <w:rPr>
          <w:rFonts w:hint="eastAsia" w:ascii="黑体" w:hAnsi="黑体" w:eastAsia="黑体" w:cs="Times New Roman"/>
          <w:sz w:val="28"/>
          <w:szCs w:val="28"/>
        </w:rPr>
      </w:pPr>
      <w:r>
        <w:rPr>
          <w:rFonts w:hint="eastAsia"/>
          <w:highlight w:val="green"/>
        </w:rPr>
        <w:br w:type="page"/>
      </w:r>
      <w:r>
        <w:rPr>
          <w:rFonts w:hint="eastAsia" w:ascii="黑体" w:hAnsi="黑体" w:eastAsia="黑体" w:cs="Times New Roman"/>
          <w:sz w:val="28"/>
          <w:szCs w:val="28"/>
        </w:rPr>
        <w:t>附表</w:t>
      </w:r>
      <w:r>
        <w:rPr>
          <w:rFonts w:hint="eastAsia" w:ascii="黑体" w:hAnsi="黑体" w:eastAsia="黑体" w:cs="Times New Roman"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Times New Roman"/>
          <w:sz w:val="28"/>
          <w:szCs w:val="28"/>
        </w:rPr>
        <w:t>-</w:t>
      </w:r>
      <w:r>
        <w:rPr>
          <w:rFonts w:hint="eastAsia" w:ascii="黑体" w:hAnsi="黑体" w:eastAsia="黑体" w:cs="Times New Roman"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 w:cs="Times New Roman"/>
          <w:sz w:val="28"/>
          <w:szCs w:val="28"/>
        </w:rPr>
        <w:t xml:space="preserve"> </w:t>
      </w:r>
    </w:p>
    <w:p>
      <w:pPr>
        <w:pStyle w:val="13"/>
        <w:spacing w:after="312" w:afterLines="100" w:line="560" w:lineRule="exact"/>
        <w:ind w:left="361" w:right="510" w:hanging="361" w:hangingChars="100"/>
        <w:jc w:val="center"/>
        <w:rPr>
          <w:rFonts w:hint="eastAsia" w:ascii="方正小标宋简体" w:hAnsi="黑体" w:eastAsia="方正小标宋简体" w:cs="Times New Roman"/>
          <w:b/>
          <w:bCs/>
          <w:sz w:val="36"/>
          <w:lang w:val="en-US" w:eastAsia="zh-CN"/>
        </w:rPr>
      </w:pPr>
      <w:r>
        <w:rPr>
          <w:rFonts w:hint="eastAsia" w:ascii="方正小标宋简体" w:hAnsi="黑体" w:eastAsia="方正小标宋简体" w:cs="Times New Roman"/>
          <w:b/>
          <w:bCs/>
          <w:sz w:val="36"/>
          <w:lang w:val="en-US" w:eastAsia="zh-CN"/>
        </w:rPr>
        <w:t>隧道衬砌缺陷无损检测竞赛项目评分细则表</w:t>
      </w:r>
    </w:p>
    <w:p>
      <w:pPr>
        <w:tabs>
          <w:tab w:val="left" w:pos="3150"/>
        </w:tabs>
        <w:spacing w:line="560" w:lineRule="exact"/>
        <w:jc w:val="left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参赛队编号：</w:t>
      </w:r>
      <w:r>
        <w:rPr>
          <w:rFonts w:hint="eastAsia"/>
          <w:sz w:val="24"/>
          <w:szCs w:val="24"/>
          <w:u w:val="single"/>
        </w:rPr>
        <w:t xml:space="preserve">              </w:t>
      </w: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  <w:lang w:val="en-US" w:eastAsia="zh-CN"/>
        </w:rPr>
        <w:t xml:space="preserve">       </w:t>
      </w:r>
      <w:r>
        <w:rPr>
          <w:rFonts w:hint="eastAsia"/>
          <w:sz w:val="24"/>
          <w:szCs w:val="24"/>
        </w:rPr>
        <w:t xml:space="preserve">  比赛工位： </w:t>
      </w:r>
      <w:r>
        <w:rPr>
          <w:rFonts w:hint="eastAsia"/>
          <w:sz w:val="24"/>
          <w:szCs w:val="24"/>
          <w:u w:val="single"/>
        </w:rPr>
        <w:t xml:space="preserve">         </w:t>
      </w:r>
    </w:p>
    <w:p>
      <w:pPr>
        <w:tabs>
          <w:tab w:val="left" w:pos="3150"/>
        </w:tabs>
        <w:spacing w:line="560" w:lineRule="exact"/>
        <w:rPr>
          <w:sz w:val="28"/>
          <w:szCs w:val="28"/>
        </w:rPr>
      </w:pPr>
      <w:r>
        <w:rPr>
          <w:rFonts w:hint="eastAsia"/>
          <w:sz w:val="24"/>
          <w:szCs w:val="24"/>
        </w:rPr>
        <w:t>竞赛日期：</w:t>
      </w:r>
      <w:r>
        <w:rPr>
          <w:rFonts w:hint="eastAsia"/>
          <w:sz w:val="24"/>
          <w:szCs w:val="24"/>
          <w:u w:val="single"/>
        </w:rPr>
        <w:t xml:space="preserve">  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sz w:val="24"/>
          <w:szCs w:val="24"/>
          <w:u w:val="single"/>
        </w:rPr>
        <w:t xml:space="preserve">  </w:t>
      </w:r>
      <w:r>
        <w:rPr>
          <w:rFonts w:hint="eastAsia"/>
          <w:sz w:val="24"/>
          <w:szCs w:val="24"/>
        </w:rPr>
        <w:t xml:space="preserve">日      </w:t>
      </w:r>
      <w:r>
        <w:rPr>
          <w:rFonts w:hint="eastAsia"/>
          <w:sz w:val="24"/>
          <w:szCs w:val="24"/>
          <w:lang w:val="en-US" w:eastAsia="zh-CN"/>
        </w:rPr>
        <w:t xml:space="preserve">      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8"/>
          <w:szCs w:val="28"/>
        </w:rPr>
        <w:t xml:space="preserve">                 </w:t>
      </w:r>
    </w:p>
    <w:tbl>
      <w:tblPr>
        <w:tblStyle w:val="38"/>
        <w:tblW w:w="10360" w:type="dxa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436"/>
        <w:gridCol w:w="611"/>
        <w:gridCol w:w="5684"/>
        <w:gridCol w:w="530"/>
        <w:gridCol w:w="620"/>
        <w:gridCol w:w="6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6" w:type="dxa"/>
            <w:gridSpan w:val="2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ascii="仿宋" w:hAnsi="仿宋" w:eastAsia="仿宋" w:cs="仿宋"/>
                <w:b/>
                <w:bCs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  <w:t>评分项</w:t>
            </w:r>
          </w:p>
        </w:tc>
        <w:tc>
          <w:tcPr>
            <w:tcW w:w="611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ascii="仿宋" w:hAnsi="仿宋" w:eastAsia="仿宋" w:cs="仿宋"/>
                <w:b/>
                <w:bCs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  <w:t>配分</w:t>
            </w:r>
          </w:p>
        </w:tc>
        <w:tc>
          <w:tcPr>
            <w:tcW w:w="5684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  <w:t>评分标准</w:t>
            </w:r>
          </w:p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ascii="仿宋" w:hAnsi="仿宋" w:eastAsia="仿宋" w:cs="仿宋"/>
                <w:b/>
                <w:bCs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  <w:t>（</w:t>
            </w: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  <w:lang w:val="en-US" w:eastAsia="zh-CN"/>
              </w:rPr>
              <w:t>本细则采用</w:t>
            </w: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  <w:t>扣分制，配分扣完为止）</w:t>
            </w:r>
          </w:p>
        </w:tc>
        <w:tc>
          <w:tcPr>
            <w:tcW w:w="530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ascii="仿宋" w:hAnsi="仿宋" w:eastAsia="仿宋" w:cs="仿宋"/>
                <w:b/>
                <w:bCs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  <w:t>扣分</w:t>
            </w:r>
          </w:p>
        </w:tc>
        <w:tc>
          <w:tcPr>
            <w:tcW w:w="620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ascii="仿宋" w:hAnsi="仿宋" w:eastAsia="仿宋" w:cs="仿宋"/>
                <w:b/>
                <w:bCs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  <w:t>得分</w:t>
            </w:r>
          </w:p>
        </w:tc>
        <w:tc>
          <w:tcPr>
            <w:tcW w:w="699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ascii="仿宋" w:hAnsi="仿宋" w:eastAsia="仿宋" w:cs="仿宋"/>
                <w:b/>
                <w:bCs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780" w:type="dxa"/>
            <w:vMerge w:val="restart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安全作业与文明形象</w:t>
            </w:r>
          </w:p>
        </w:tc>
        <w:tc>
          <w:tcPr>
            <w:tcW w:w="1436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人员形象与状态</w:t>
            </w:r>
          </w:p>
        </w:tc>
        <w:tc>
          <w:tcPr>
            <w:tcW w:w="611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5</w:t>
            </w:r>
          </w:p>
        </w:tc>
        <w:tc>
          <w:tcPr>
            <w:tcW w:w="5684" w:type="dxa"/>
            <w:noWrap w:val="0"/>
            <w:vAlign w:val="center"/>
          </w:tcPr>
          <w:p>
            <w:pPr>
              <w:pStyle w:val="189"/>
              <w:tabs>
                <w:tab w:val="left" w:pos="3150"/>
              </w:tabs>
              <w:spacing w:line="30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2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分工合理、配合默契、动作协调、操作规范，否则每项次扣1分，最多扣4分</w:t>
            </w:r>
            <w:r>
              <w:rPr>
                <w:rFonts w:hint="eastAsia" w:ascii="宋体" w:hAnsi="宋体" w:eastAsia="宋体" w:cs="宋体"/>
                <w:kern w:val="2"/>
                <w:sz w:val="22"/>
                <w:lang w:eastAsia="zh-CN"/>
              </w:rPr>
              <w:t>；</w:t>
            </w:r>
          </w:p>
          <w:p>
            <w:pPr>
              <w:pStyle w:val="189"/>
              <w:tabs>
                <w:tab w:val="left" w:pos="3150"/>
              </w:tabs>
              <w:spacing w:line="30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2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要求着装</w:t>
            </w:r>
            <w:r>
              <w:rPr>
                <w:rFonts w:hint="eastAsia" w:ascii="宋体" w:hAnsi="宋体" w:eastAsia="宋体" w:cs="宋体"/>
                <w:kern w:val="2"/>
                <w:sz w:val="22"/>
                <w:lang w:val="en-US" w:eastAsia="zh-CN"/>
              </w:rPr>
              <w:t>规范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，否则扣1分。</w:t>
            </w:r>
          </w:p>
        </w:tc>
        <w:tc>
          <w:tcPr>
            <w:tcW w:w="530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99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1436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安全作业</w:t>
            </w:r>
          </w:p>
        </w:tc>
        <w:tc>
          <w:tcPr>
            <w:tcW w:w="611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5</w:t>
            </w:r>
          </w:p>
        </w:tc>
        <w:tc>
          <w:tcPr>
            <w:tcW w:w="5684" w:type="dxa"/>
            <w:noWrap w:val="0"/>
            <w:vAlign w:val="top"/>
          </w:tcPr>
          <w:p>
            <w:pPr>
              <w:pStyle w:val="189"/>
              <w:tabs>
                <w:tab w:val="left" w:pos="3150"/>
              </w:tabs>
              <w:spacing w:line="30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2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裁判宣布开始后应首先清点设备、器具，否则扣1分</w:t>
            </w:r>
            <w:r>
              <w:rPr>
                <w:rFonts w:hint="eastAsia" w:ascii="宋体" w:hAnsi="宋体" w:eastAsia="宋体" w:cs="宋体"/>
                <w:kern w:val="2"/>
                <w:sz w:val="22"/>
                <w:lang w:eastAsia="zh-CN"/>
              </w:rPr>
              <w:t>；</w:t>
            </w:r>
          </w:p>
          <w:p>
            <w:pPr>
              <w:pStyle w:val="189"/>
              <w:tabs>
                <w:tab w:val="left" w:pos="3150"/>
              </w:tabs>
              <w:spacing w:line="30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2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操作过程无危险动作，包括不限于对自身及他人造成潜在危险。否则每项次扣1分，最多扣</w:t>
            </w:r>
            <w:r>
              <w:rPr>
                <w:rFonts w:hint="eastAsia" w:ascii="宋体" w:hAnsi="宋体" w:eastAsia="宋体" w:cs="宋体"/>
                <w:kern w:val="2"/>
                <w:sz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分</w:t>
            </w:r>
            <w:r>
              <w:rPr>
                <w:rFonts w:hint="eastAsia" w:ascii="宋体" w:hAnsi="宋体" w:eastAsia="宋体" w:cs="宋体"/>
                <w:kern w:val="2"/>
                <w:sz w:val="22"/>
                <w:lang w:eastAsia="zh-CN"/>
              </w:rPr>
              <w:t>；</w:t>
            </w:r>
          </w:p>
          <w:p>
            <w:pPr>
              <w:pStyle w:val="189"/>
              <w:tabs>
                <w:tab w:val="left" w:pos="3150"/>
              </w:tabs>
              <w:spacing w:line="30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2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违规使用仪器拍照</w:t>
            </w:r>
            <w:r>
              <w:rPr>
                <w:rFonts w:hint="eastAsia" w:ascii="宋体" w:hAnsi="宋体" w:eastAsia="宋体" w:cs="宋体"/>
                <w:kern w:val="2"/>
                <w:sz w:val="22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摄像、录音等功能</w:t>
            </w:r>
            <w:r>
              <w:rPr>
                <w:rFonts w:hint="eastAsia" w:ascii="宋体" w:hAnsi="宋体" w:eastAsia="宋体" w:cs="宋体"/>
                <w:kern w:val="2"/>
                <w:sz w:val="22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kern w:val="2"/>
                <w:sz w:val="22"/>
                <w:lang w:val="en-US" w:eastAsia="zh-CN"/>
              </w:rPr>
              <w:t>扣1分</w:t>
            </w:r>
            <w:r>
              <w:rPr>
                <w:rFonts w:hint="eastAsia" w:ascii="宋体" w:hAnsi="宋体" w:eastAsia="宋体" w:cs="宋体"/>
                <w:kern w:val="2"/>
                <w:sz w:val="22"/>
                <w:lang w:eastAsia="zh-CN"/>
              </w:rPr>
              <w:t>。</w:t>
            </w:r>
          </w:p>
        </w:tc>
        <w:tc>
          <w:tcPr>
            <w:tcW w:w="530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99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检测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过程与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结果</w:t>
            </w:r>
          </w:p>
        </w:tc>
        <w:tc>
          <w:tcPr>
            <w:tcW w:w="1436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设备操作</w:t>
            </w:r>
          </w:p>
        </w:tc>
        <w:tc>
          <w:tcPr>
            <w:tcW w:w="611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5684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能够合理的采用无损检测方法，正确、规范使用设备对缺陷进行数据采集。</w:t>
            </w:r>
          </w:p>
        </w:tc>
        <w:tc>
          <w:tcPr>
            <w:tcW w:w="530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</w:rPr>
            </w:pPr>
          </w:p>
        </w:tc>
        <w:tc>
          <w:tcPr>
            <w:tcW w:w="620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99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1436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波速标定</w:t>
            </w:r>
          </w:p>
        </w:tc>
        <w:tc>
          <w:tcPr>
            <w:tcW w:w="611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5684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  <w:t>定量测试埋深，未做波速标定扣2分，标定波速不合理扣</w:t>
            </w: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  <w:t>分。</w:t>
            </w:r>
          </w:p>
        </w:tc>
        <w:tc>
          <w:tcPr>
            <w:tcW w:w="530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</w:rPr>
            </w:pPr>
          </w:p>
        </w:tc>
        <w:tc>
          <w:tcPr>
            <w:tcW w:w="620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99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1436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缺陷有无</w:t>
            </w:r>
          </w:p>
        </w:tc>
        <w:tc>
          <w:tcPr>
            <w:tcW w:w="611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20</w:t>
            </w:r>
          </w:p>
        </w:tc>
        <w:tc>
          <w:tcPr>
            <w:tcW w:w="5684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对15个分区内有无缺陷做出准确判定，错判或漏判1处扣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分。</w:t>
            </w:r>
          </w:p>
        </w:tc>
        <w:tc>
          <w:tcPr>
            <w:tcW w:w="530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</w:rPr>
            </w:pPr>
          </w:p>
        </w:tc>
        <w:tc>
          <w:tcPr>
            <w:tcW w:w="620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99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1436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缺陷位置</w:t>
            </w:r>
          </w:p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（中心坐标）</w:t>
            </w:r>
          </w:p>
        </w:tc>
        <w:tc>
          <w:tcPr>
            <w:tcW w:w="611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568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2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lang w:val="en-US" w:eastAsia="zh-CN"/>
              </w:rPr>
              <w:t>每个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缺陷中心X轴坐标</w:t>
            </w:r>
            <w:r>
              <w:rPr>
                <w:rFonts w:hint="eastAsia" w:ascii="宋体" w:hAnsi="宋体" w:eastAsia="宋体" w:cs="宋体"/>
                <w:kern w:val="2"/>
                <w:sz w:val="22"/>
                <w:lang w:val="en-US" w:eastAsia="zh-CN"/>
              </w:rPr>
              <w:t>或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Y轴坐标</w:t>
            </w:r>
            <w:r>
              <w:rPr>
                <w:rFonts w:hint="eastAsia" w:ascii="宋体" w:hAnsi="宋体" w:eastAsia="宋体" w:cs="宋体"/>
                <w:kern w:val="2"/>
                <w:sz w:val="22"/>
                <w:lang w:val="en-US" w:eastAsia="zh-CN"/>
              </w:rPr>
              <w:t>与标准坐标值的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偏差±</w:t>
            </w:r>
            <w:r>
              <w:rPr>
                <w:rFonts w:hint="default" w:ascii="宋体" w:hAnsi="宋体" w:eastAsia="宋体" w:cs="宋体"/>
                <w:kern w:val="2"/>
                <w:sz w:val="22"/>
                <w:lang w:eastAsia="zh-CN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cm</w:t>
            </w:r>
            <w:r>
              <w:rPr>
                <w:rFonts w:hint="default" w:ascii="宋体" w:hAnsi="宋体" w:eastAsia="宋体" w:cs="宋体"/>
                <w:kern w:val="2"/>
                <w:sz w:val="22"/>
              </w:rPr>
              <w:t>内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不扣分</w:t>
            </w:r>
            <w:r>
              <w:rPr>
                <w:rFonts w:hint="eastAsia" w:ascii="宋体" w:hAnsi="宋体" w:eastAsia="宋体" w:cs="宋体"/>
                <w:kern w:val="2"/>
                <w:sz w:val="22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超过±15cm扣2分。其他扣分按下式计算：</w:t>
            </w:r>
          </w:p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lang w:val="en-US" w:eastAsia="zh-CN"/>
              </w:rPr>
              <w:t>每个缺陷</w:t>
            </w:r>
            <w:r>
              <w:rPr>
                <w:rFonts w:hint="default" w:ascii="宋体" w:hAnsi="宋体" w:eastAsia="宋体" w:cs="宋体"/>
                <w:kern w:val="2"/>
                <w:sz w:val="22"/>
              </w:rPr>
              <w:t>中心坐标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扣分=2×(|</w:t>
            </w:r>
            <w:r>
              <w:rPr>
                <w:rFonts w:hint="default" w:ascii="宋体" w:hAnsi="宋体" w:eastAsia="宋体" w:cs="宋体"/>
                <w:kern w:val="2"/>
                <w:sz w:val="22"/>
              </w:rPr>
              <w:t>(x或y)中心测试坐标值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-</w:t>
            </w:r>
            <w:r>
              <w:rPr>
                <w:rFonts w:hint="default" w:ascii="宋体" w:hAnsi="宋体" w:eastAsia="宋体" w:cs="宋体"/>
                <w:kern w:val="2"/>
                <w:sz w:val="22"/>
              </w:rPr>
              <w:t>(x或y)中心标准坐标值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|-</w:t>
            </w:r>
            <w:r>
              <w:rPr>
                <w:rFonts w:hint="eastAsia" w:ascii="宋体" w:hAnsi="宋体" w:eastAsia="宋体" w:cs="宋体"/>
                <w:kern w:val="2"/>
                <w:sz w:val="22"/>
                <w:lang w:val="en-US" w:eastAsia="zh-CN"/>
              </w:rPr>
              <w:t>5</w:t>
            </w:r>
            <w:r>
              <w:rPr>
                <w:rFonts w:hint="default" w:ascii="宋体" w:hAnsi="宋体" w:eastAsia="宋体" w:cs="宋体"/>
                <w:kern w:val="2"/>
                <w:sz w:val="22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/</w:t>
            </w:r>
            <w:r>
              <w:rPr>
                <w:rFonts w:hint="eastAsia" w:ascii="宋体" w:hAnsi="宋体" w:eastAsia="宋体" w:cs="宋体"/>
                <w:kern w:val="2"/>
                <w:sz w:val="22"/>
                <w:lang w:val="en-US" w:eastAsia="zh-CN"/>
              </w:rPr>
              <w:t>1</w:t>
            </w:r>
            <w:r>
              <w:rPr>
                <w:rFonts w:hint="default" w:ascii="宋体" w:hAnsi="宋体" w:eastAsia="宋体" w:cs="宋体"/>
                <w:kern w:val="2"/>
                <w:sz w:val="22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kern w:val="2"/>
                <w:sz w:val="22"/>
              </w:rPr>
              <w:t>（保留2位小数）</w:t>
            </w:r>
            <w:r>
              <w:rPr>
                <w:rFonts w:hint="eastAsia" w:ascii="宋体" w:hAnsi="宋体" w:eastAsia="宋体" w:cs="宋体"/>
                <w:kern w:val="2"/>
                <w:sz w:val="22"/>
                <w:lang w:val="en-US" w:eastAsia="zh-CN"/>
              </w:rPr>
              <w:t>。</w:t>
            </w:r>
          </w:p>
        </w:tc>
        <w:tc>
          <w:tcPr>
            <w:tcW w:w="530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</w:rPr>
            </w:pPr>
          </w:p>
        </w:tc>
        <w:tc>
          <w:tcPr>
            <w:tcW w:w="620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99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1436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缺陷大小</w:t>
            </w:r>
          </w:p>
        </w:tc>
        <w:tc>
          <w:tcPr>
            <w:tcW w:w="611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5684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  <w:lang w:val="en-US" w:eastAsia="zh-CN"/>
              </w:rPr>
              <w:t>每个缺陷测试面积与标准值的偏差≤15%不扣分，偏差≥40%扣2分，其他扣分按下式计算：</w:t>
            </w:r>
          </w:p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b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  <w:lang w:val="en-US" w:eastAsia="zh-CN"/>
              </w:rPr>
              <w:t>每个缺陷面积扣分=2×(|测试面积-面积标准值|/面积标准值×100%-15%)/25%（保留2位小数）。</w:t>
            </w:r>
          </w:p>
        </w:tc>
        <w:tc>
          <w:tcPr>
            <w:tcW w:w="530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</w:rPr>
            </w:pPr>
          </w:p>
        </w:tc>
        <w:tc>
          <w:tcPr>
            <w:tcW w:w="620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99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1436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缺陷深度</w:t>
            </w:r>
          </w:p>
        </w:tc>
        <w:tc>
          <w:tcPr>
            <w:tcW w:w="611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14</w:t>
            </w:r>
          </w:p>
        </w:tc>
        <w:tc>
          <w:tcPr>
            <w:tcW w:w="5684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  <w:t>埋深定性判定错1个扣1分。</w:t>
            </w:r>
          </w:p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  <w:t>每个缺陷埋深定量测定值与标准值偏差±3cm不扣分，偏差±8cm扣2分，其他扣分按下式计算：</w:t>
            </w:r>
          </w:p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  <w:t>每个缺陷埋深扣分=2×(|测试埋深H-实际埋深H0|-3)/5（保留2位小数）。</w:t>
            </w:r>
          </w:p>
        </w:tc>
        <w:tc>
          <w:tcPr>
            <w:tcW w:w="530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</w:rPr>
            </w:pPr>
          </w:p>
        </w:tc>
        <w:tc>
          <w:tcPr>
            <w:tcW w:w="620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99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Merge w:val="restart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检测报告</w:t>
            </w:r>
          </w:p>
        </w:tc>
        <w:tc>
          <w:tcPr>
            <w:tcW w:w="1436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报告表填写</w:t>
            </w:r>
          </w:p>
        </w:tc>
        <w:tc>
          <w:tcPr>
            <w:tcW w:w="611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5684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报告填写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/修改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规范，整洁，否则扣1分。</w:t>
            </w:r>
          </w:p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错填，漏填每处扣0.5分，最多扣1分。</w:t>
            </w:r>
          </w:p>
        </w:tc>
        <w:tc>
          <w:tcPr>
            <w:tcW w:w="530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99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Merge w:val="continue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1436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缺陷示意图</w:t>
            </w:r>
          </w:p>
        </w:tc>
        <w:tc>
          <w:tcPr>
            <w:tcW w:w="611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5684" w:type="dxa"/>
            <w:noWrap w:val="0"/>
            <w:vAlign w:val="center"/>
          </w:tcPr>
          <w:p>
            <w:pPr>
              <w:pStyle w:val="2"/>
              <w:spacing w:line="300" w:lineRule="auto"/>
              <w:ind w:firstLine="0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示意图未绘制，扣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分。</w:t>
            </w:r>
          </w:p>
          <w:p>
            <w:pPr>
              <w:pStyle w:val="2"/>
              <w:spacing w:line="300" w:lineRule="auto"/>
              <w:ind w:firstLine="0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示意图应包括方位信息、分区号、坐标原点、缺陷中心坐标，缺陷X轴Y轴方向长度等，填写规范、整洁，否则每项扣0.5分。</w:t>
            </w:r>
          </w:p>
        </w:tc>
        <w:tc>
          <w:tcPr>
            <w:tcW w:w="530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99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16" w:type="dxa"/>
            <w:gridSpan w:val="2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设备整理</w:t>
            </w:r>
          </w:p>
        </w:tc>
        <w:tc>
          <w:tcPr>
            <w:tcW w:w="611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5684" w:type="dxa"/>
            <w:noWrap w:val="0"/>
            <w:vAlign w:val="center"/>
          </w:tcPr>
          <w:p>
            <w:pPr>
              <w:pStyle w:val="2"/>
              <w:spacing w:line="300" w:lineRule="auto"/>
              <w:ind w:firstLine="0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限时未完成竞赛，自带设备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数据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未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清零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，该项配分全扣。</w:t>
            </w:r>
          </w:p>
          <w:p>
            <w:pPr>
              <w:pStyle w:val="2"/>
              <w:spacing w:line="300" w:lineRule="auto"/>
              <w:ind w:firstLine="0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设备归位（自带设备同样要求）：关闭电源，取下探头，设备配件及其工具整理装箱，否则扣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分。</w:t>
            </w:r>
          </w:p>
          <w:p>
            <w:pPr>
              <w:pStyle w:val="2"/>
              <w:spacing w:line="300" w:lineRule="auto"/>
              <w:ind w:firstLine="0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现场用具及时上交，否则扣1分。</w:t>
            </w:r>
          </w:p>
        </w:tc>
        <w:tc>
          <w:tcPr>
            <w:tcW w:w="530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99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16" w:type="dxa"/>
            <w:gridSpan w:val="2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完成时间得分</w:t>
            </w:r>
          </w:p>
        </w:tc>
        <w:tc>
          <w:tcPr>
            <w:tcW w:w="611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10</w:t>
            </w:r>
          </w:p>
        </w:tc>
        <w:tc>
          <w:tcPr>
            <w:tcW w:w="5684" w:type="dxa"/>
            <w:noWrap w:val="0"/>
            <w:vAlign w:val="top"/>
          </w:tcPr>
          <w:p>
            <w:pPr>
              <w:pStyle w:val="2"/>
              <w:spacing w:line="300" w:lineRule="auto"/>
              <w:ind w:firstLine="0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根据每队的用时情况，由裁判委员会统一计算得分，该项裁判只做时间记录，精确到秒，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四舍五入法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换算到0.1分钟。60min以内完成的基本分为4分，T≤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0min得10分，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0min＜T≤60min得分=22-0.3T，60min内未完成不得分。得分保留2位小数。</w:t>
            </w:r>
          </w:p>
          <w:p>
            <w:pPr>
              <w:spacing w:line="300" w:lineRule="auto"/>
              <w:jc w:val="left"/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选手完成时间：</w:t>
            </w:r>
            <w:r>
              <w:rPr>
                <w:rFonts w:hint="eastAsia" w:ascii="宋体" w:hAnsi="宋体" w:eastAsia="宋体" w:cs="宋体"/>
                <w:sz w:val="22"/>
                <w:szCs w:val="22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分钟</w:t>
            </w:r>
            <w:r>
              <w:rPr>
                <w:rFonts w:hint="eastAsia" w:ascii="宋体" w:hAnsi="宋体" w:eastAsia="宋体" w:cs="宋体"/>
                <w:sz w:val="22"/>
                <w:szCs w:val="22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秒。</w:t>
            </w:r>
          </w:p>
        </w:tc>
        <w:tc>
          <w:tcPr>
            <w:tcW w:w="530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99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16" w:type="dxa"/>
            <w:gridSpan w:val="2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一票否决</w:t>
            </w:r>
          </w:p>
        </w:tc>
        <w:tc>
          <w:tcPr>
            <w:tcW w:w="611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5684" w:type="dxa"/>
            <w:noWrap w:val="0"/>
            <w:vAlign w:val="top"/>
          </w:tcPr>
          <w:p>
            <w:pPr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穿戴服饰、自带器具设备带有选手特有的标志信息；暴力摔坏仪器设备；伪造数据报告；不尊重、不服从裁判指挥、不遵守选手比赛纪律；出现以上任意一种行为，该项比赛计0分。</w:t>
            </w:r>
          </w:p>
        </w:tc>
        <w:tc>
          <w:tcPr>
            <w:tcW w:w="530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99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6" w:type="dxa"/>
            <w:gridSpan w:val="2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合计</w:t>
            </w:r>
          </w:p>
        </w:tc>
        <w:tc>
          <w:tcPr>
            <w:tcW w:w="611" w:type="dxa"/>
            <w:noWrap w:val="0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100</w:t>
            </w:r>
          </w:p>
        </w:tc>
        <w:tc>
          <w:tcPr>
            <w:tcW w:w="5684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530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20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699" w:type="dxa"/>
            <w:noWrap w:val="0"/>
            <w:vAlign w:val="top"/>
          </w:tcPr>
          <w:p>
            <w:pPr>
              <w:tabs>
                <w:tab w:val="left" w:pos="3150"/>
              </w:tabs>
              <w:spacing w:line="300" w:lineRule="auto"/>
              <w:jc w:val="left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</w:tbl>
    <w:p>
      <w:pPr>
        <w:pStyle w:val="13"/>
        <w:tabs>
          <w:tab w:val="left" w:pos="3150"/>
        </w:tabs>
        <w:spacing w:before="61" w:line="560" w:lineRule="exact"/>
        <w:ind w:right="508"/>
        <w:rPr>
          <w:rFonts w:hint="eastAsia" w:ascii="宋体" w:hAnsi="宋体" w:cs="宋体"/>
          <w:sz w:val="28"/>
          <w:szCs w:val="28"/>
          <w:lang w:bidi="ar"/>
        </w:rPr>
      </w:pPr>
    </w:p>
    <w:p>
      <w:pPr>
        <w:pStyle w:val="13"/>
        <w:tabs>
          <w:tab w:val="left" w:pos="3150"/>
        </w:tabs>
        <w:spacing w:before="61" w:line="560" w:lineRule="exact"/>
        <w:ind w:right="508"/>
        <w:rPr>
          <w:rFonts w:ascii="宋体" w:hAnsi="宋体" w:cs="宋体"/>
          <w:sz w:val="28"/>
          <w:szCs w:val="28"/>
          <w:u w:val="single"/>
          <w:lang w:bidi="ar"/>
        </w:rPr>
      </w:pPr>
      <w:r>
        <w:rPr>
          <w:rFonts w:hint="eastAsia" w:ascii="宋体" w:hAnsi="宋体" w:cs="宋体"/>
          <w:sz w:val="28"/>
          <w:szCs w:val="28"/>
          <w:lang w:bidi="ar"/>
        </w:rPr>
        <w:t>评分</w:t>
      </w:r>
      <w:r>
        <w:rPr>
          <w:rFonts w:ascii="宋体" w:hAnsi="宋体" w:cs="宋体"/>
          <w:sz w:val="28"/>
          <w:szCs w:val="28"/>
          <w:lang w:bidi="ar"/>
        </w:rPr>
        <w:t>裁判签字：</w:t>
      </w:r>
      <w:r>
        <w:rPr>
          <w:rFonts w:hint="eastAsia" w:ascii="宋体" w:hAnsi="宋体" w:cs="宋体"/>
          <w:sz w:val="28"/>
          <w:szCs w:val="28"/>
          <w:lang w:bidi="ar"/>
        </w:rPr>
        <w:t xml:space="preserve"> </w:t>
      </w:r>
      <w:r>
        <w:rPr>
          <w:rFonts w:hint="eastAsia" w:ascii="宋体" w:hAnsi="宋体" w:cs="宋体"/>
          <w:sz w:val="28"/>
          <w:szCs w:val="28"/>
          <w:u w:val="single"/>
          <w:lang w:bidi="ar"/>
        </w:rPr>
        <w:t xml:space="preserve">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0"/>
        <w:rPr>
          <w:rFonts w:hint="eastAsia" w:ascii="黑体" w:hAnsi="黑体" w:eastAsia="黑体"/>
          <w:sz w:val="32"/>
          <w:szCs w:val="32"/>
        </w:rPr>
        <w:sectPr>
          <w:type w:val="continuous"/>
          <w:pgSz w:w="11906" w:h="16838"/>
          <w:pgMar w:top="1984" w:right="1588" w:bottom="1984" w:left="1588" w:header="851" w:footer="992" w:gutter="0"/>
          <w:cols w:space="720" w:num="1"/>
          <w:docGrid w:type="lines" w:linePitch="312" w:charSpace="0"/>
        </w:sectPr>
      </w:pPr>
    </w:p>
    <w:p>
      <w:pPr>
        <w:spacing w:line="560" w:lineRule="exact"/>
        <w:outlineLvl w:val="0"/>
        <w:rPr>
          <w:rFonts w:hint="eastAsia" w:ascii="Times New Roman" w:hAnsi="Times New Roman" w:eastAsia="黑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</w:p>
    <w:bookmarkEnd w:id="0"/>
    <w:p>
      <w:pPr>
        <w:widowControl/>
        <w:adjustRightInd w:val="0"/>
        <w:spacing w:line="560" w:lineRule="exact"/>
        <w:jc w:val="center"/>
        <w:outlineLvl w:val="0"/>
        <w:rPr>
          <w:rFonts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1" w:name="_Toc2832"/>
      <w:bookmarkStart w:id="2" w:name="_Toc2329"/>
      <w:bookmarkStart w:id="3" w:name="_Toc26645"/>
      <w:bookmarkStart w:id="4" w:name="_Toc13192"/>
      <w:r>
        <w:rPr>
          <w:rFonts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钢筋骨架加工</w:t>
      </w:r>
      <w:bookmarkEnd w:id="1"/>
      <w:bookmarkEnd w:id="2"/>
      <w:bookmarkEnd w:id="3"/>
      <w:bookmarkEnd w:id="4"/>
      <w:r>
        <w:rPr>
          <w:rFonts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竞赛项目实施细则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5" w:name="_Toc114"/>
      <w:bookmarkStart w:id="6" w:name="_Toc1760"/>
      <w:bookmarkStart w:id="7" w:name="_Toc28465"/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一、竞赛流程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1.参赛选手及指导教师（领队）提前30分钟到达检录区，有序出示参赛证、身份证等竞赛相关证件进行身份信息检录。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2.选手进入赛场前10分钟，抽签确定竞赛工位号，到达工位后根据工位上的工具清单检查工具数量及使用情况。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3.领取竞赛文件袋（包含任务书、领料单、钢筋工程数量表、草稿纸等），5分钟后开始计时，竞赛内容顺序需严格按照任务书要求进行。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4.不得带任何通讯工具进入比赛场地。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仿宋_GB2312" w:eastAsia="仿宋_GB2312"/>
          <w:sz w:val="32"/>
          <w:szCs w:val="32"/>
        </w:rPr>
        <w:t>比赛结束当场提交成果给现场</w:t>
      </w:r>
      <w:r>
        <w:rPr>
          <w:rFonts w:hint="default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裁判，本赛项计时结束</w:t>
      </w:r>
      <w:r>
        <w:rPr>
          <w:rFonts w:hint="default" w:ascii="仿宋_GB2312" w:hAnsi="Times New Roman" w:eastAsia="仿宋_GB2312" w:cs="仿宋_GB2312"/>
          <w:kern w:val="2"/>
          <w:sz w:val="32"/>
          <w:szCs w:val="32"/>
          <w:lang w:eastAsia="zh-CN" w:bidi="ar"/>
        </w:rPr>
        <w:t>，选手有序退出赛场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二、竞赛时间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竞赛限时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60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分钟，裁判宣布限时已到，应立即停止操作，提交成果，在已完成的基础上进行评分，超时操作或不提交成果该项目得0分。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三、竞赛内容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每支参赛队3名选手，在规定时间内，根据现场提供的任务书，利用钢筋材料、配套工具及设备，完成钢筋骨架识图、下料、加工、领料、绑扎以及工程量计算等任务。领料单、加工钢筋、绑扎钢筋骨架、钢筋工程数量表作为该项目成果。竞赛具体内容如下：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1、识图、下料、加工及领料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（1）根据领取的竞赛任务书中的钢筋施工图纸完成钢筋结构识图。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（2）根据任务书要求领取需要在比赛现场加工的钢筋原材，依据图纸完成指定钢筋下料及半成品加工。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（3）根据任务书要求领取组委会赛前已加工好的钢筋半成品，填写《领料单》（附表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-1）。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注：现场提供若干套已加工好的不同规格的钢筋半成品，选手需根据任务书钢筋图纸要求选取相对应的钢筋半成品。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2、绑扎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选手结合竞赛任务书中的钢筋施工图纸，完成钢筋骨架的绑扎，绑扎要求详见附件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-5。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3、工程量计算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依据任务书要求填写《钢筋工程数量表》（附表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-2）。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四、设备、工具、材料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所用到的设备、工具、材料组委会提供备选，见附表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-3。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五、场地布设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现场分设检录区、等候区、比赛区。各区用安全锥与警示带分隔开，每个区都有醒目的指示牌。选手按现场工作人员指示有序进入相应区域。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六、评分规则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参赛队伍在完成比赛任务后，向现场裁判提交比赛成果，裁判组根据各参赛队现场操作的规范性和提交的成果进行评分，见附表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-4。</w:t>
      </w: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footerReference r:id="rId5" w:type="default"/>
          <w:footerReference r:id="rId6" w:type="even"/>
          <w:pgSz w:w="11906" w:h="16838"/>
          <w:pgMar w:top="1985" w:right="1588" w:bottom="1985" w:left="1588" w:header="851" w:footer="992" w:gutter="0"/>
          <w:cols w:space="708" w:num="1"/>
          <w:docGrid w:type="lines" w:linePitch="312" w:charSpace="0"/>
        </w:sectPr>
      </w:pPr>
    </w:p>
    <w:p>
      <w:pPr>
        <w:spacing w:line="560" w:lineRule="exact"/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附表</w:t>
      </w:r>
      <w:r>
        <w:rPr>
          <w:rFonts w:hint="eastAsia" w:ascii="Times New Roman" w:hAnsi="Times New Roman" w:eastAsia="黑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-1 </w:t>
      </w:r>
    </w:p>
    <w:p>
      <w:pPr>
        <w:pStyle w:val="13"/>
        <w:spacing w:after="312" w:afterLines="100" w:line="560" w:lineRule="exact"/>
        <w:ind w:left="361" w:right="510" w:hanging="361" w:hangingChars="100"/>
        <w:jc w:val="center"/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领料单</w:t>
      </w:r>
    </w:p>
    <w:p>
      <w:pPr>
        <w:pStyle w:val="13"/>
        <w:spacing w:after="0" w:line="360" w:lineRule="auto"/>
        <w:jc w:val="left"/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>参赛队编号：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 xml:space="preserve">   比赛工位：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 xml:space="preserve">   任务书编号：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  <w:t xml:space="preserve">       </w:t>
      </w:r>
    </w:p>
    <w:tbl>
      <w:tblPr>
        <w:tblStyle w:val="3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1"/>
        <w:gridCol w:w="1790"/>
        <w:gridCol w:w="1790"/>
        <w:gridCol w:w="1790"/>
        <w:gridCol w:w="1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钢筋编号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8"/>
                <w:highlight w:val="none"/>
                <w:lang w:val="en-US" w:eastAsia="zh-CN"/>
              </w:rPr>
              <w:t>直径（mm）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8"/>
                <w:highlight w:val="none"/>
                <w:lang w:val="en-US" w:eastAsia="zh-CN"/>
              </w:rPr>
              <w:t>数量（根）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领料区编号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3"/>
        <w:spacing w:before="61" w:line="360" w:lineRule="auto"/>
        <w:ind w:right="508"/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>注：本领料单用于领取组织方赛前已加工好的钢筋半成品。</w:t>
      </w:r>
    </w:p>
    <w:p>
      <w:pPr>
        <w:pStyle w:val="13"/>
        <w:spacing w:before="61" w:line="360" w:lineRule="auto"/>
        <w:ind w:right="508"/>
        <w:rPr>
          <w:rFonts w:ascii="Times New Roman" w:hAnsi="Times New Roman" w:eastAsia="仿宋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>评分裁判签字：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 xml:space="preserve">        </w:t>
      </w:r>
    </w:p>
    <w:p>
      <w:pPr>
        <w:spacing w:line="560" w:lineRule="exact"/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1906" w:h="16838"/>
          <w:pgMar w:top="1985" w:right="1588" w:bottom="1985" w:left="1588" w:header="851" w:footer="992" w:gutter="0"/>
          <w:cols w:space="708" w:num="1"/>
          <w:docGrid w:type="lines" w:linePitch="312" w:charSpace="0"/>
        </w:sectPr>
      </w:pPr>
    </w:p>
    <w:p>
      <w:pPr>
        <w:spacing w:line="560" w:lineRule="exact"/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附表</w:t>
      </w:r>
      <w:r>
        <w:rPr>
          <w:rFonts w:hint="eastAsia" w:ascii="Times New Roman" w:hAnsi="Times New Roman" w:eastAsia="黑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-2 </w:t>
      </w:r>
    </w:p>
    <w:p>
      <w:pPr>
        <w:pStyle w:val="13"/>
        <w:spacing w:after="312" w:afterLines="100" w:line="560" w:lineRule="exact"/>
        <w:ind w:left="361" w:right="510" w:hanging="361" w:hangingChars="100"/>
        <w:jc w:val="center"/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钢筋工程数量表</w:t>
      </w:r>
    </w:p>
    <w:p>
      <w:pPr>
        <w:pStyle w:val="13"/>
        <w:spacing w:after="0" w:line="360" w:lineRule="auto"/>
        <w:jc w:val="left"/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>参赛队编号：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 xml:space="preserve">   比赛工位：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 xml:space="preserve">   任务书编号：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  <w:t xml:space="preserve">       </w:t>
      </w:r>
    </w:p>
    <w:tbl>
      <w:tblPr>
        <w:tblStyle w:val="3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278"/>
        <w:gridCol w:w="1279"/>
        <w:gridCol w:w="1279"/>
        <w:gridCol w:w="1279"/>
        <w:gridCol w:w="1279"/>
        <w:gridCol w:w="12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2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7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钢筋编号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直径（mm）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数量（根）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单根长度（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m）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总长度（m）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总重量（kg）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27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27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27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27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27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27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27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27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127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3"/>
        <w:spacing w:before="61" w:line="360" w:lineRule="auto"/>
        <w:ind w:right="508"/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>注：1、总长度、总重量保留到小数点后三位（四舍五入）。</w:t>
      </w:r>
    </w:p>
    <w:p>
      <w:pPr>
        <w:pStyle w:val="13"/>
        <w:spacing w:before="61" w:line="360" w:lineRule="auto"/>
        <w:ind w:right="508"/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 xml:space="preserve">    2、钢筋每延米重量可采用计算公式：钢筋每延米重量（kg）=钢筋直径（mm）*钢筋直径（mm）*0.00617。</w:t>
      </w:r>
    </w:p>
    <w:p>
      <w:pPr>
        <w:pStyle w:val="13"/>
        <w:spacing w:before="61" w:line="360" w:lineRule="auto"/>
        <w:ind w:right="508"/>
        <w:rPr>
          <w:rFonts w:ascii="Times New Roman" w:hAnsi="Times New Roman" w:eastAsia="仿宋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 xml:space="preserve">评分裁判签字： 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 xml:space="preserve">            </w:t>
      </w:r>
    </w:p>
    <w:p>
      <w:pPr>
        <w:pStyle w:val="3"/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1906" w:h="16838"/>
          <w:pgMar w:top="1985" w:right="1588" w:bottom="1985" w:left="1588" w:header="851" w:footer="992" w:gutter="0"/>
          <w:cols w:space="708" w:num="1"/>
          <w:docGrid w:type="lines" w:linePitch="312" w:charSpace="0"/>
        </w:sectPr>
      </w:pPr>
    </w:p>
    <w:p>
      <w:pPr>
        <w:spacing w:line="560" w:lineRule="exact"/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附表</w:t>
      </w:r>
      <w:r>
        <w:rPr>
          <w:rFonts w:hint="eastAsia" w:ascii="Times New Roman" w:hAnsi="Times New Roman" w:eastAsia="黑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-3 </w:t>
      </w: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</w:p>
    <w:p>
      <w:pPr>
        <w:pStyle w:val="13"/>
        <w:spacing w:after="312" w:afterLines="100" w:line="560" w:lineRule="exact"/>
        <w:ind w:left="361" w:right="510" w:hanging="361" w:hangingChars="100"/>
        <w:jc w:val="center"/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相关设备、工具、材料清单表</w:t>
      </w:r>
    </w:p>
    <w:tbl>
      <w:tblPr>
        <w:tblStyle w:val="38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8"/>
        <w:gridCol w:w="3096"/>
        <w:gridCol w:w="874"/>
        <w:gridCol w:w="3168"/>
        <w:gridCol w:w="11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3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3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钢筋材料</w:t>
            </w:r>
          </w:p>
        </w:tc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6套</w:t>
            </w:r>
          </w:p>
        </w:tc>
        <w:tc>
          <w:tcPr>
            <w:tcW w:w="3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钢筋微缩模型半成品及原材料，每套中各构件均有富余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钢筋绑扎支架（简易支架）</w:t>
            </w:r>
          </w:p>
        </w:tc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6套</w:t>
            </w:r>
          </w:p>
        </w:tc>
        <w:tc>
          <w:tcPr>
            <w:tcW w:w="3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辅助钢筋绑扎作业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 w:eastAsia="仿宋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钢筋加工设备</w:t>
            </w:r>
          </w:p>
        </w:tc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6套</w:t>
            </w:r>
          </w:p>
        </w:tc>
        <w:tc>
          <w:tcPr>
            <w:tcW w:w="3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钢筋弯曲平台（微缩版）、断线钳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 w:eastAsia="仿宋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绑扎工具套装</w:t>
            </w:r>
          </w:p>
        </w:tc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6套</w:t>
            </w:r>
          </w:p>
        </w:tc>
        <w:tc>
          <w:tcPr>
            <w:tcW w:w="3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每套包括直尺（50cm）一把、卷尺（5m）一把、三角尺一把、记号笔两支、中性笔两支、计算器（无存储功能）一个、手动钢筋绑扎钩三个、扎丝若干、清扫工具一套等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 w:eastAsia="仿宋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手动钢筋绑扎钩参赛队可自带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劳保物品</w:t>
            </w:r>
          </w:p>
        </w:tc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6套</w:t>
            </w:r>
          </w:p>
        </w:tc>
        <w:tc>
          <w:tcPr>
            <w:tcW w:w="3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手套（一次性）、反光背心三件、安全帽三个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 w:eastAsia="仿宋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line="360" w:lineRule="auto"/>
        <w:ind w:firstLine="454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注：1.组织方提供的设备、工具、材料不得带离考试区。</w:t>
      </w: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2.本表设备、工具、材料按照6个工位配备，具体数量根据参赛队伍确定调整。</w:t>
      </w:r>
    </w:p>
    <w:p>
      <w:pPr>
        <w:pStyle w:val="2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3"/>
        <w:spacing w:before="61"/>
        <w:ind w:right="508"/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3"/>
        <w:spacing w:before="61" w:line="360" w:lineRule="auto"/>
        <w:ind w:right="508"/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br w:type="page"/>
      </w:r>
      <w:r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附表</w:t>
      </w:r>
      <w:r>
        <w:rPr>
          <w:rFonts w:hint="eastAsia" w:ascii="Times New Roman" w:hAnsi="Times New Roman" w:eastAsia="黑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-4 </w:t>
      </w:r>
    </w:p>
    <w:p>
      <w:pPr>
        <w:pStyle w:val="13"/>
        <w:spacing w:after="312" w:afterLines="100" w:line="560" w:lineRule="exact"/>
        <w:ind w:left="361" w:right="510" w:hanging="361" w:hangingChars="100"/>
        <w:jc w:val="center"/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钢筋骨架加工赛项评分细则表</w:t>
      </w:r>
    </w:p>
    <w:p>
      <w:pPr>
        <w:pStyle w:val="13"/>
        <w:spacing w:after="0" w:line="360" w:lineRule="auto"/>
        <w:jc w:val="left"/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>参赛队编号：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 xml:space="preserve">             比赛工位：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 xml:space="preserve">         </w:t>
      </w:r>
    </w:p>
    <w:p>
      <w:pPr>
        <w:pStyle w:val="13"/>
        <w:spacing w:after="0" w:line="360" w:lineRule="auto"/>
        <w:jc w:val="left"/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>任务书编号：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 xml:space="preserve">             竞赛日期：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>月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>日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3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8"/>
        <w:gridCol w:w="962"/>
        <w:gridCol w:w="712"/>
        <w:gridCol w:w="4506"/>
        <w:gridCol w:w="571"/>
        <w:gridCol w:w="571"/>
        <w:gridCol w:w="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</w:trPr>
        <w:tc>
          <w:tcPr>
            <w:tcW w:w="2010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评分项</w:t>
            </w:r>
          </w:p>
        </w:tc>
        <w:tc>
          <w:tcPr>
            <w:tcW w:w="71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配分</w:t>
            </w:r>
          </w:p>
        </w:tc>
        <w:tc>
          <w:tcPr>
            <w:tcW w:w="450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评分标准</w:t>
            </w:r>
          </w:p>
        </w:tc>
        <w:tc>
          <w:tcPr>
            <w:tcW w:w="57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252"/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扣分</w:t>
            </w:r>
          </w:p>
        </w:tc>
        <w:tc>
          <w:tcPr>
            <w:tcW w:w="57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252"/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得分</w:t>
            </w:r>
          </w:p>
        </w:tc>
        <w:tc>
          <w:tcPr>
            <w:tcW w:w="57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252"/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48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安全作业与文明形象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15分</w:t>
            </w:r>
          </w:p>
        </w:tc>
        <w:tc>
          <w:tcPr>
            <w:tcW w:w="96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人员形象与状态</w:t>
            </w:r>
          </w:p>
        </w:tc>
        <w:tc>
          <w:tcPr>
            <w:tcW w:w="71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506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1、分工合理、配合默契、动作协调、操作规范，否则每项次扣1分，最多扣3分；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2、要求着装整洁，否则每人扣1分，最多扣2分。</w:t>
            </w: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40" w:hRule="atLeast"/>
        </w:trPr>
        <w:tc>
          <w:tcPr>
            <w:tcW w:w="104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安全作业</w:t>
            </w:r>
          </w:p>
        </w:tc>
        <w:tc>
          <w:tcPr>
            <w:tcW w:w="71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506" w:type="dxa"/>
            <w:vAlign w:val="center"/>
          </w:tcPr>
          <w:p>
            <w:pPr>
              <w:pStyle w:val="189"/>
              <w:tabs>
                <w:tab w:val="left" w:pos="3150"/>
              </w:tabs>
              <w:spacing w:line="300" w:lineRule="auto"/>
              <w:ind w:firstLine="0" w:firstLineChars="0"/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操作过程无危险动作，包括不限于对自身及他人造成潜在危险，否则每项次扣1分。</w:t>
            </w: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04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料具准备及整理</w:t>
            </w:r>
          </w:p>
        </w:tc>
        <w:tc>
          <w:tcPr>
            <w:tcW w:w="71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506" w:type="dxa"/>
            <w:vAlign w:val="center"/>
          </w:tcPr>
          <w:p>
            <w:pPr>
              <w:pStyle w:val="189"/>
              <w:tabs>
                <w:tab w:val="left" w:pos="3150"/>
              </w:tabs>
              <w:spacing w:line="300" w:lineRule="auto"/>
              <w:ind w:firstLine="0" w:firstLineChars="0"/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1、正式比赛前根据工具清单清点各类工具及设备，否则扣1分；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2、比赛过程中，工具准备不充分，缺一件扣1分；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3、比赛完成后，工具、下脚料收拾干净，摆放整齐，工具无损坏。未按要求完成，每项扣 1 分，最多扣3分。</w:t>
            </w: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5" w:hRule="atLeast"/>
        </w:trPr>
        <w:tc>
          <w:tcPr>
            <w:tcW w:w="104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下料与加工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15分</w:t>
            </w:r>
          </w:p>
        </w:tc>
        <w:tc>
          <w:tcPr>
            <w:tcW w:w="96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下料过程</w:t>
            </w:r>
          </w:p>
        </w:tc>
        <w:tc>
          <w:tcPr>
            <w:tcW w:w="71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506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1、未进行除锈作业扣 2 分，未处理干净扣 1 分；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2、未进行丈量划线，直接切断钢筋，每发现一次扣 1 分，最多扣2分；</w:t>
            </w:r>
          </w:p>
          <w:p>
            <w:pPr>
              <w:pStyle w:val="2"/>
              <w:ind w:firstLine="0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3、切割后的钢筋端头不平整，扣1分。</w:t>
            </w: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048" w:type="dxa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加工质量</w:t>
            </w:r>
          </w:p>
        </w:tc>
        <w:tc>
          <w:tcPr>
            <w:tcW w:w="71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4506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1、弯筋前未划线，每发现一处扣 1 分，最多扣2分；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2、钢筋加工误差超出偏差范围，每根扣 1 分，最多扣6分；（钢筋长度允许偏差±2mm）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3、钢筋不平直、有扭曲，每根扣 1 分，最多扣2分。</w:t>
            </w: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2010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领料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10分</w:t>
            </w:r>
          </w:p>
        </w:tc>
        <w:tc>
          <w:tcPr>
            <w:tcW w:w="71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4506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1、领料单填写错误或不规范，每处扣1分，最多扣2分；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2、钢筋种类选择错误每根扣1分，最多扣4分；</w:t>
            </w:r>
          </w:p>
          <w:p>
            <w:pPr>
              <w:pStyle w:val="2"/>
              <w:ind w:firstLine="0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3、钢筋根数每多1根或少1根扣1分，最多扣4分。</w:t>
            </w: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1048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绑扎与成品外观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45分</w:t>
            </w:r>
          </w:p>
        </w:tc>
        <w:tc>
          <w:tcPr>
            <w:tcW w:w="96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绑扎</w:t>
            </w:r>
          </w:p>
        </w:tc>
        <w:tc>
          <w:tcPr>
            <w:tcW w:w="71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4506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1、绑扎方法每一处错误扣 1 分，最多扣5分；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2、顺扣法绑扎未按八字交叉进行分布，每一处错误扣1分，最多扣5分；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3、存在节点未进行绑扎，每处扣 1 分，最多扣5分；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4、扎丝多余丝头未按要求向钢筋骨架内部按压，每发现一处扣 1 分，最多扣5分；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5、扎丝缠绕少于2圈，绑扎节点不牢固，每处扣1分，最多扣5分。</w:t>
            </w: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75" w:hRule="atLeast"/>
        </w:trPr>
        <w:tc>
          <w:tcPr>
            <w:tcW w:w="104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骨架外观</w:t>
            </w:r>
          </w:p>
        </w:tc>
        <w:tc>
          <w:tcPr>
            <w:tcW w:w="71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4506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1、钢筋间距超出偏差范围每处扣 1 分，最多扣7分；（钢筋间距允许偏差±3mm）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2、箍筋与水平筋不垂直每处扣 1 分，最多扣5分；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3、钢筋成品骨架的钢筋数量与图纸不符，每少一根钢筋扣1分，最多扣5分；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4、钢筋位置安装错误，每处扣1分，最多扣3分。</w:t>
            </w: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2010" w:type="dxa"/>
            <w:gridSpan w:val="2"/>
            <w:vAlign w:val="center"/>
          </w:tcPr>
          <w:p>
            <w:pPr>
              <w:pStyle w:val="269"/>
              <w:spacing w:line="264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工程量计算</w:t>
            </w:r>
          </w:p>
          <w:p>
            <w:pPr>
              <w:pStyle w:val="269"/>
              <w:spacing w:line="264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5分</w:t>
            </w:r>
          </w:p>
        </w:tc>
        <w:tc>
          <w:tcPr>
            <w:tcW w:w="712" w:type="dxa"/>
            <w:vAlign w:val="center"/>
          </w:tcPr>
          <w:p>
            <w:pPr>
              <w:pStyle w:val="269"/>
              <w:spacing w:line="264" w:lineRule="auto"/>
              <w:ind w:firstLine="0" w:firstLineChars="0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506" w:type="dxa"/>
            <w:vAlign w:val="center"/>
          </w:tcPr>
          <w:p>
            <w:pPr>
              <w:spacing w:line="264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钢筋编号、直径、数量、单根长度、</w:t>
            </w:r>
            <w:r>
              <w:rPr>
                <w:rFonts w:ascii="Times New Roman" w:hAnsi="Times New Roman" w:eastAsia="宋体" w:cs="Times New Roman"/>
                <w:strike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单根重量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总长度以及总重量每填错一处扣0.5分。</w:t>
            </w: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0" w:hRule="atLeast"/>
        </w:trPr>
        <w:tc>
          <w:tcPr>
            <w:tcW w:w="2010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完成时间得分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10分</w:t>
            </w:r>
          </w:p>
        </w:tc>
        <w:tc>
          <w:tcPr>
            <w:tcW w:w="71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4506" w:type="dxa"/>
            <w:vAlign w:val="center"/>
          </w:tcPr>
          <w:p>
            <w:pPr>
              <w:pStyle w:val="2"/>
              <w:spacing w:line="300" w:lineRule="auto"/>
              <w:ind w:firstLine="0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根据每队的用时情况，裁判记录比赛时间，精确到秒，四舍五入换算到0.1分钟。60min以内完成的基本分为4分，T≤40min得10分，40min＜T＜60min得分=22-0.3T。得分保留2位小数。</w:t>
            </w:r>
          </w:p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选手完成时间：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u w:val="single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分钟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u w:val="single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秒。</w:t>
            </w: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0" w:hRule="atLeast"/>
        </w:trPr>
        <w:tc>
          <w:tcPr>
            <w:tcW w:w="2010" w:type="dxa"/>
            <w:gridSpan w:val="2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一票否决</w:t>
            </w:r>
          </w:p>
        </w:tc>
        <w:tc>
          <w:tcPr>
            <w:tcW w:w="712" w:type="dxa"/>
            <w:vAlign w:val="center"/>
          </w:tcPr>
          <w:p>
            <w:pPr>
              <w:tabs>
                <w:tab w:val="left" w:pos="3150"/>
              </w:tabs>
              <w:spacing w:line="300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4506" w:type="dxa"/>
          </w:tcPr>
          <w:p>
            <w:pPr>
              <w:spacing w:line="30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穿戴服饰、自带设备标记有选手个人及单位特有的标志信息；暴力损坏设备工具；不尊重、不服从裁判指挥、不遵守选手比赛纪律；出现以上任意一种行为，该项比赛计0分。</w:t>
            </w: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010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71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506" w:type="dxa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3"/>
        <w:spacing w:before="61" w:line="560" w:lineRule="exact"/>
        <w:ind w:right="508"/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</w:p>
    <w:p>
      <w:pPr>
        <w:pStyle w:val="13"/>
        <w:spacing w:before="61" w:line="560" w:lineRule="exact"/>
        <w:ind w:right="508"/>
        <w:rPr>
          <w:rFonts w:ascii="Times New Roman" w:hAnsi="Times New Roman" w:eastAsia="宋体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 xml:space="preserve">评分裁判签字： </w:t>
      </w:r>
      <w:r>
        <w:rPr>
          <w:rFonts w:ascii="Times New Roman" w:hAnsi="Times New Roman" w:eastAsia="宋体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  <w:t xml:space="preserve">                      </w:t>
      </w:r>
    </w:p>
    <w:p>
      <w:pPr>
        <w:spacing w:line="560" w:lineRule="exact"/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Times New Roman" w:hAnsi="Times New Roman" w:eastAsia="黑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-5 </w:t>
      </w:r>
    </w:p>
    <w:p>
      <w:pPr>
        <w:pStyle w:val="13"/>
        <w:spacing w:after="0" w:line="560" w:lineRule="exact"/>
        <w:ind w:left="361" w:hanging="361" w:hangingChars="100"/>
        <w:jc w:val="center"/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钢筋绑扎要求</w:t>
      </w:r>
    </w:p>
    <w:p>
      <w:pPr>
        <w:widowControl/>
        <w:adjustRightInd w:val="0"/>
        <w:spacing w:line="50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钢筋绑扎方式、间距等工艺应满足任务书要求，钢筋所有节点均需绑扎，扎丝绕2圈以上，稳定牢固，扎丝多余丝头需剪掉。</w:t>
      </w:r>
    </w:p>
    <w:p>
      <w:pPr>
        <w:widowControl/>
        <w:adjustRightInd w:val="0"/>
        <w:spacing w:line="50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（1）水平筋与箍筋交叉节点采用顺扣法绑扎，顺扣法绑扎应按八字交叉分布，见附图2-5-1、附图2-5-2。</w:t>
      </w:r>
    </w:p>
    <w:p>
      <w:pPr>
        <w:jc w:val="center"/>
        <w:rPr>
          <w:rFonts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86840" cy="1080135"/>
            <wp:effectExtent l="0" t="0" r="0" b="0"/>
            <wp:docPr id="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967" cy="10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266825" cy="1080135"/>
            <wp:effectExtent l="0" t="0" r="0" b="0"/>
            <wp:docPr id="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333" cy="10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附图2-5-1 顺扣法绑扎方式图解</w:t>
      </w:r>
    </w:p>
    <w:p>
      <w:pPr>
        <w:widowControl/>
        <w:adjustRightInd w:val="0"/>
        <w:spacing w:line="560" w:lineRule="exact"/>
        <w:jc w:val="center"/>
        <w:rPr>
          <w:rFonts w:ascii="Times New Roman" w:hAnsi="Times New Roman" w:eastAsia="仿宋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03245" cy="1322070"/>
            <wp:effectExtent l="0" t="0" r="0" b="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753" cy="132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pacing w:line="560" w:lineRule="exact"/>
        <w:jc w:val="center"/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附图2-5-2 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顺扣法绑扎八字交叉分布示意图</w:t>
      </w:r>
    </w:p>
    <w:p>
      <w:pPr>
        <w:widowControl/>
        <w:adjustRightInd w:val="0"/>
        <w:spacing w:line="50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（2）水平筋与箍筋拐角处采用套（兜）扣法绑扎，见附图2-5-3。</w:t>
      </w:r>
    </w:p>
    <w:p>
      <w:pPr>
        <w:jc w:val="center"/>
        <w:rPr>
          <w:rFonts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305175" cy="1011555"/>
            <wp:effectExtent l="0" t="0" r="0" b="0"/>
            <wp:docPr id="1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683" cy="101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before="61" w:line="360" w:lineRule="auto"/>
        <w:ind w:right="508"/>
        <w:jc w:val="center"/>
        <w:rPr>
          <w:rFonts w:ascii="Times New Roman" w:hAnsi="Times New Roman" w:eastAsia="仿宋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附图2-5-3 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套（兜）扣法绑扎方式图解</w:t>
      </w: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7" w:type="default"/>
          <w:footerReference r:id="rId8" w:type="default"/>
          <w:pgSz w:w="11906" w:h="16838"/>
          <w:pgMar w:top="1985" w:right="1588" w:bottom="1985" w:left="1588" w:header="851" w:footer="1400" w:gutter="0"/>
          <w:cols w:space="708" w:num="1"/>
          <w:docGrid w:type="lines" w:linePitch="312" w:charSpace="0"/>
        </w:sectPr>
      </w:pPr>
    </w:p>
    <w:bookmarkEnd w:id="5"/>
    <w:bookmarkEnd w:id="6"/>
    <w:bookmarkEnd w:id="7"/>
    <w:p>
      <w:pPr>
        <w:spacing w:line="560" w:lineRule="exact"/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8" w:name="_Toc16648"/>
      <w:bookmarkStart w:id="9" w:name="_Toc16171"/>
      <w:bookmarkStart w:id="10" w:name="_Toc22428"/>
      <w:bookmarkStart w:id="11" w:name="_Toc21809"/>
      <w:r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附图</w:t>
      </w:r>
      <w:bookmarkEnd w:id="8"/>
      <w:bookmarkEnd w:id="9"/>
      <w:bookmarkEnd w:id="10"/>
      <w:bookmarkEnd w:id="11"/>
      <w:r>
        <w:rPr>
          <w:rFonts w:hint="eastAsia" w:ascii="Times New Roman" w:hAnsi="Times New Roman" w:eastAsia="黑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-6</w:t>
      </w:r>
    </w:p>
    <w:p>
      <w:pPr>
        <w:pStyle w:val="13"/>
        <w:spacing w:after="0" w:line="560" w:lineRule="exact"/>
        <w:ind w:left="361" w:right="510" w:hanging="361" w:hangingChars="100"/>
        <w:jc w:val="center"/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bookmarkStart w:id="12" w:name="_Toc27259"/>
      <w:bookmarkStart w:id="13" w:name="_Toc5836"/>
      <w:bookmarkStart w:id="14" w:name="_Toc27925"/>
      <w:bookmarkStart w:id="15" w:name="_Toc6656"/>
      <w:bookmarkStart w:id="16" w:name="_Toc16543"/>
      <w:bookmarkStart w:id="17" w:name="_Toc2612"/>
      <w:bookmarkStart w:id="18" w:name="_Toc10808"/>
      <w:r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T梁钢筋构造图</w:t>
      </w:r>
      <w:bookmarkEnd w:id="12"/>
      <w:bookmarkEnd w:id="13"/>
      <w:bookmarkEnd w:id="14"/>
      <w:bookmarkEnd w:id="15"/>
      <w:bookmarkEnd w:id="16"/>
      <w:bookmarkEnd w:id="17"/>
      <w:bookmarkEnd w:id="18"/>
      <w:r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（样图）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510" w:hanging="210" w:hangingChars="100"/>
        <w:jc w:val="center"/>
        <w:textAlignment w:val="auto"/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宋体" w:cs="仿宋_GB2312"/>
          <w:lang w:val="en-US" w:eastAsia="zh-CN" w:bidi="ar"/>
        </w:rPr>
        <w:drawing>
          <wp:inline distT="0" distB="0" distL="114300" distR="114300">
            <wp:extent cx="4872990" cy="6893560"/>
            <wp:effectExtent l="0" t="0" r="2540" b="3810"/>
            <wp:docPr id="1" name="图片 2" descr="学生组T梁钢筋模型图纸20230815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学生组T梁钢筋模型图纸20230815 Model 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872990" cy="68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4512310</wp:posOffset>
                </wp:positionV>
                <wp:extent cx="1461135" cy="323850"/>
                <wp:effectExtent l="0" t="0" r="0" b="0"/>
                <wp:wrapNone/>
                <wp:docPr id="14" name="000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扫描查看三维模型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000128" o:spid="_x0000_s1026" o:spt="202" type="#_x0000_t202" style="position:absolute;left:0pt;margin-left:325.2pt;margin-top:355.3pt;height:25.5pt;width:115.05pt;z-index:251661312;mso-width-relative:page;mso-height-relative:page;" filled="f" stroked="f" coordsize="21600,21600" o:gfxdata="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DLZtm7XAAAACwEAAA8AAAAAAAAA&#10;AQAgAAAAIgAAAGRycy9kb3ducmV2LnhtbFBLAQIUABQAAAAIAIdO4kBXKTyLoAEAAEw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sz w:val="16"/>
                          <w:szCs w:val="20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</w:rPr>
                        <w:t>扫描查看三维模型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3630295</wp:posOffset>
            </wp:positionV>
            <wp:extent cx="946785" cy="946785"/>
            <wp:effectExtent l="0" t="0" r="0" b="0"/>
            <wp:wrapNone/>
            <wp:docPr id="1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6230620</wp:posOffset>
                </wp:positionH>
                <wp:positionV relativeFrom="paragraph">
                  <wp:posOffset>6705600</wp:posOffset>
                </wp:positionV>
                <wp:extent cx="1261745" cy="310515"/>
                <wp:effectExtent l="0" t="0" r="0" b="0"/>
                <wp:wrapNone/>
                <wp:docPr id="19" name="000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扫码查看三维模型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000129" o:spid="_x0000_s1026" o:spt="202" type="#_x0000_t202" style="position:absolute;left:0pt;margin-left:490.6pt;margin-top:528pt;height:24.45pt;width:99.35pt;z-index:251660288;mso-width-relative:page;mso-height-relative:page;" fillcolor="#FFFFFF" filled="t" stroked="f" coordsize="21600,21600" o:gfxdata="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FiAmZ2gAAAA4BAAAPAAAAAAAAAAEAIAAAACIAAABkcnMvZG93bnJldi54bWxQSwECFAAUAAAA&#10;CACHTuJAV79bzLMBAAB1AwAADgAAAAAAAAABACAAAAApAQAAZHJzL2Uyb0RvYy54bWxQSwUGAAAA&#10;AAYABgBZAQAAT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="宋体"/>
                        </w:rPr>
                      </w:pPr>
                      <w:r>
                        <w:rPr>
                          <w:rFonts w:hint="eastAsia"/>
                        </w:rPr>
                        <w:t>扫码查看三维模型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注：比赛时以任务书给出的图纸为准。</w:t>
      </w: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footerReference r:id="rId9" w:type="default"/>
          <w:footerReference r:id="rId10" w:type="even"/>
          <w:pgSz w:w="16838" w:h="11906" w:orient="landscape"/>
          <w:pgMar w:top="1134" w:right="1985" w:bottom="1020" w:left="1985" w:header="851" w:footer="992" w:gutter="0"/>
          <w:cols w:space="708" w:num="1"/>
          <w:docGrid w:type="lines" w:linePitch="312" w:charSpace="0"/>
        </w:sectPr>
      </w:pPr>
    </w:p>
    <w:p>
      <w:pPr>
        <w:spacing w:line="560" w:lineRule="exact"/>
        <w:jc w:val="left"/>
        <w:outlineLvl w:val="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附件4</w:t>
      </w:r>
    </w:p>
    <w:p>
      <w:pPr>
        <w:widowControl/>
        <w:adjustRightInd w:val="0"/>
        <w:spacing w:line="560" w:lineRule="exact"/>
        <w:jc w:val="center"/>
        <w:outlineLvl w:val="0"/>
        <w:rPr>
          <w:rFonts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施工放样竞赛项目实施细则</w:t>
      </w:r>
    </w:p>
    <w:p>
      <w:pPr>
        <w:widowControl/>
        <w:adjustRightInd w:val="0"/>
        <w:spacing w:after="120" w:afterLines="50" w:line="56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一、竞赛流程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1.参赛选手提前30分钟到达检录区后出示参赛证、身份证等竞赛相关证件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lang w:bidi="ar"/>
          <w14:textFill>
            <w14:solidFill>
              <w14:schemeClr w14:val="tx1"/>
            </w14:solidFill>
          </w14:textFill>
        </w:rPr>
        <w:t>，自带设备队伍需签署《自带设备责任承诺书》（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>附件6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lang w:bidi="ar"/>
          <w14:textFill>
            <w14:solidFill>
              <w14:schemeClr w14:val="tx1"/>
            </w14:solidFill>
          </w14:textFill>
        </w:rPr>
        <w:t>），检录完成后有序进入候赛区不得随意离开。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进行身份信息检录。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2.选手提前20分钟进入赛场，抽签确定赛场编号。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3.领取仪器设备与文件袋（里面有相关记录表、草稿纸、计算器、笔等文具）后，进行仪器检查及预热操作。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4.不得带任何通讯工具进入比赛场地。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仿宋_GB2312" w:eastAsia="仿宋_GB2312"/>
          <w:sz w:val="32"/>
          <w:szCs w:val="32"/>
        </w:rPr>
        <w:t>比赛结束当场提交成果给现场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裁判</w:t>
      </w:r>
      <w:r>
        <w:rPr>
          <w:rFonts w:hint="eastAsia" w:ascii="仿宋_GB2312" w:eastAsia="仿宋_GB2312"/>
          <w:sz w:val="32"/>
          <w:szCs w:val="32"/>
        </w:rPr>
        <w:t>，本赛项计时结束，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裁判</w:t>
      </w:r>
      <w:r>
        <w:rPr>
          <w:rFonts w:hint="eastAsia" w:ascii="仿宋_GB2312" w:eastAsia="仿宋_GB2312"/>
          <w:sz w:val="32"/>
          <w:szCs w:val="32"/>
        </w:rPr>
        <w:t>记录所用时间，选手有序退出赛场。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二、竞赛时间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竞赛限时60分钟，裁判宣布限时已到，应立即停止操作，提交成果，在已完成的基础上进行评分，超时操作或不提交成果该项目得0分。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三、竞赛内容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每队3名选手，配合作业，共同完成以下任务。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根据提供的曲线线型参数（见附表4-1），计算出曲线常数、曲线要素、主点里程、部分主点及指定里程的中桩坐标；同时根据已知点做定向和检查后，进行指定里程的中桩坐标放样。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使用非编程计算器计算桥隧线路的缓和曲线常数、曲线要素、曲线主点坐标及里程、指定中桩点坐标。然后根据已知测站点、定向点和检核点，使用测量施工软件控制全站仪进行指定中桩点放样（如下图1）。放样完成后，使用第二套坐标系，须在测站点重新安置仪器，后视检核点设站，实测放样点位坐标进行检核。</w:t>
      </w:r>
    </w:p>
    <w:p>
      <w:pPr>
        <w:autoSpaceDE w:val="0"/>
        <w:autoSpaceDN w:val="0"/>
        <w:spacing w:line="560" w:lineRule="exact"/>
        <w:ind w:firstLine="6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7485" cy="2390775"/>
            <wp:effectExtent l="0" t="0" r="0" b="0"/>
            <wp:docPr id="24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866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图 1</w:t>
      </w:r>
      <w:r>
        <w:rPr>
          <w:rFonts w:ascii="Times New Roman" w:hAnsi="Times New Roman" w:eastAsia="黑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黑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施工放样竞赛场地示意图</w:t>
      </w:r>
    </w:p>
    <w:p>
      <w:pPr>
        <w:spacing w:before="9"/>
        <w:rPr>
          <w:rFonts w:ascii="Times New Roman" w:hAnsi="Times New Roman" w:cs="Times New Roman"/>
          <w:color w:val="000000" w:themeColor="text1"/>
          <w:sz w:val="6"/>
          <w:szCs w:val="6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上交成果：缓和曲线常数、曲线要素、曲线主点里程及曲线中桩坐标计算成果和检测测设点坐标，施工放样评分表。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说明：参赛队现场抽签决定场地，每赛场测站点、定向点和检核点相互独立。</w:t>
      </w:r>
      <w:bookmarkStart w:id="19" w:name="5.施工放样"/>
      <w:bookmarkEnd w:id="19"/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.正式比赛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（1）参赛队必须提前 30 分钟到检录区检录，然后到竞赛现场抽签。未能按时检录者不得参赛。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（2）竞赛过程中选手不得使用任何通讯工具。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（3）仪器检查完后必须重新装箱，脚架收拢。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（4）裁判宣布竞赛开始，各组单独计时，计时精确到秒。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（5）竞赛过程中，若仪器发生故障，参赛队员向现场裁判口头提出报告，由技术支持工程师到现场检查，并经现场裁判确认后可以更换仪器重测。若经工程师检查仪器无故障，检查时间计入竞赛时间。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凡在测量过程中未报告仪器故障的，超过竞赛时间后不能以仪器故障为由要求重测。非裁判认可的仪器故障的重测不重新计时。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（6）竞赛结束，各参赛队仪器装箱、脚架收拢归位到原始位置，上交成果资料，竞赛计时结束。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（7）成果一旦提交就不能再要求修改或者重测。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（8）参赛队必须独立完成所有竞赛任务，参赛队员在竞赛过程中不能以任何方式与外界交换信息。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（9）竞赛过程中，选手须严格遵守操作规程，确保人身及设备安全，并接受裁判的监督和警示。选手造成仪器设备损坏，无法继续竞赛的，停止该队竞赛，不得重赛，并进行相应的仪器设备赔偿。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（10）参赛者必须尊重裁判，服从裁判指挥。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.计算及放样要求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（1）竞赛采用手工记录及计算，记录计算必须用赛会提供的《施工放样成果表》（见附表4-2），现场完成计算，不允许使用非赛会提供的计算器。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（2）选手共同完成计算；队员测设必须轮换，即每选手必须至少放样一个坐标。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（4）记录和计算应符合规范要求，角度取位至0.1秒、坐标、曲线要素、里程等计算结果均取位至0.0001m。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（5）成果表用签字笔填写，表面必须保持整洁，字迹清晰。错误用杠改法进行修改，将正确数据写在上方。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（6）不得将教材及非赛会发的笔记本等其他用具带入竞赛场地。违者以作弊论处。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（7）每组只能使用赛会提供的三个脚架（含基座）、三个棱镜和放样小棱镜1套。可以使用全站仪的坐标放样自动照准功能。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.实施步骤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（1）完成规定的计算数据：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缓和曲线常数：缓和曲线切线角β、切垂距m、内移距P；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曲线要素：切线长T、曲线长L、外矢距E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、切曲差q；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曲线主点里程和坐标：直缓点ZH、缓圆点HY、曲中点QZ、圆缓点YH、缓直点HZ。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放样点坐标：第一缓和曲线和圆曲线上指定中桩点各2个。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（2）全站仪设站。在测站点安置全站仪，在定向点和检核点分别安置棱镜，后视定向点设站，使用全站仪坐标测量功能测量检核点坐标与理论坐标进行比较，自我评估精度或错误，可以重新整置仪器设站。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（3）放样。放样前须对检核点进行检核。将计算出的曲线主点里程和坐标，对应输入手簿的施工测量软件里，手簿与全站仪进行通讯，使用施工测量软件控制全站仪进行实地放样，做好放样点标记。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（4）放样完成后，使用第二套坐标系，须在测站点重新安置仪器（需测站脚架合拢再架设），后视检核点设站，全站仪实测放样点位坐标（坐标观测仅限1次）并记录。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（5）检查结束后应将仪器装箱，脚架收好归位到原始位置，上交成果，竞赛计时结束。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四、设备、工具、材料</w:t>
      </w:r>
    </w:p>
    <w:p>
      <w:pPr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所用到的设备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lang w:bidi="ar"/>
          <w14:textFill>
            <w14:solidFill>
              <w14:schemeClr w14:val="tx1"/>
            </w14:solidFill>
          </w14:textFill>
        </w:rPr>
        <w:t>（选手可自带）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、工具、材料组委会提供，见附表4-4。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五、场地布设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现场分设检录区、等候区、比赛区。各区用安全锥与警示带分隔开，每个区都有醒目的指示牌。选手按现场工作人员指示有序进入相应区域。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比赛区整体布局、各类设施等情况。竞赛环境说明如下：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20" w:name="第一部分__二等水准测量竞赛"/>
      <w:bookmarkEnd w:id="20"/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1.赛场情况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（1）场地为硬化地面，场地面积约150m×150m 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（2）场地每条线路每队设置3个独立已知平面控制点，同时比赛互不干扰。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2.赛场内布设有明显易读的点位标志和路线标识，赛场周边有隔离标识或护栏，确保选手不受外界影响参加竞赛。赛场提供稳定的照明、水、电和供电应急设备等。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3.赛场设有保安、公安、消防、设备维修和电力抢险人员待命，以防突发事件。赛场配备维修服务、医疗、生活补给站等公共服务设施，为选手和赛场人员提供服务。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六、评分规则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参赛队伍在完成测试、记录、分析后形成报告，向现场裁判提交比赛成果，裁判组根据各参赛队现场操作的规范性和提交的成果进行评分，见附表4-3。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评分规则说明如下：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1.分值结构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施工放样总分值100分，其中计算成果30分，成果精度40分，记录规范性10分，测量时间20分。具体标准见附表4-3。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2．取消资格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（1）违规使用电话等通讯设备。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（2）故意干扰其他队测量。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（3）仪器设备人为故意损坏。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（4）选手在比赛过程中擅自离开赛场。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（5）伪造数据。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（6）将内业计算表格带离比赛场地。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3．成果质量评分标准</w:t>
      </w:r>
    </w:p>
    <w:tbl>
      <w:tblPr>
        <w:tblStyle w:val="3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2"/>
        <w:gridCol w:w="5043"/>
        <w:gridCol w:w="1240"/>
        <w:gridCol w:w="6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1632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内 容</w:t>
            </w:r>
          </w:p>
        </w:tc>
        <w:tc>
          <w:tcPr>
            <w:tcW w:w="5043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评 分 标 准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违规</w:t>
            </w:r>
          </w:p>
          <w:p>
            <w:pPr>
              <w:jc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次（站）数</w:t>
            </w:r>
          </w:p>
        </w:tc>
        <w:tc>
          <w:tcPr>
            <w:tcW w:w="60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计算成果（30分）</w:t>
            </w:r>
          </w:p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扣完为止</w:t>
            </w:r>
          </w:p>
        </w:tc>
        <w:tc>
          <w:tcPr>
            <w:tcW w:w="5043" w:type="dxa"/>
            <w:vAlign w:val="center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缓和曲线常数三个：β、m、P，每缺少1项或计算错误1项扣2分。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  <w:vMerge w:val="continue"/>
            <w:vAlign w:val="center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43" w:type="dxa"/>
            <w:vAlign w:val="center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曲线要素四个：T、L、E</w:t>
            </w: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:vertAlign w:val="subscript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、q，每缺少1项或计算错误1项扣2分。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  <w:vMerge w:val="continue"/>
            <w:vAlign w:val="center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43" w:type="dxa"/>
            <w:vAlign w:val="center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主点ZH、HY、QZ、YH、HZ里程，每缺少1项或计算错误1项扣2分。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  <w:vMerge w:val="continue"/>
            <w:vAlign w:val="center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43" w:type="dxa"/>
            <w:vAlign w:val="center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主点ZH、HY、QZ、YH、HZ坐标，每缺少1项或计算错误1项扣2分。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  <w:vMerge w:val="continue"/>
            <w:vAlign w:val="center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43" w:type="dxa"/>
            <w:vAlign w:val="center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指定的4个中桩点的坐标，每缺少1项或计算错误1项扣2分。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63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放样精度（40分）</w:t>
            </w:r>
          </w:p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扣完为止</w:t>
            </w:r>
          </w:p>
        </w:tc>
        <w:tc>
          <w:tcPr>
            <w:tcW w:w="5043" w:type="dxa"/>
            <w:vAlign w:val="center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没有利用检核点检核扣40分。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  <w:vMerge w:val="continue"/>
            <w:vAlign w:val="center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43" w:type="dxa"/>
            <w:vAlign w:val="center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每个放样点的点位精度超过2cm扣10分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操作过程和记录</w:t>
            </w:r>
          </w:p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规范性</w:t>
            </w:r>
          </w:p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（10分）</w:t>
            </w:r>
          </w:p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扣完为止</w:t>
            </w:r>
          </w:p>
        </w:tc>
        <w:tc>
          <w:tcPr>
            <w:tcW w:w="5043" w:type="dxa"/>
            <w:vAlign w:val="center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携带设备（全站仪、脚架等）跑步，每人违规一次扣2分。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43" w:type="dxa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选手每人放样2点，选手如不轮换测设工作，轮换错误1人扣5分。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43" w:type="dxa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放样中用棱镜杆在地面刻画标记，刻画一处标记扣5分。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43" w:type="dxa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比赛过程中，教练进入比赛场地或在场外进行指导，违规1次扣5分。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43" w:type="dxa"/>
            <w:vAlign w:val="center"/>
          </w:tcPr>
          <w:p>
            <w:pP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成果表就字改字或连环涂改，违反一处扣2分。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3.竞赛项目的竞赛用时成绩评定规则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裁判宣布竞赛开始计时，到上交成果计时结束，时间以秒为单位。比赛时间得分Si计算公式为：</w:t>
      </w:r>
    </w:p>
    <w:p>
      <w:pPr>
        <w:pStyle w:val="13"/>
        <w:spacing w:before="178" w:line="358" w:lineRule="auto"/>
        <w:ind w:right="57" w:firstLine="556"/>
        <w:rPr>
          <w:rFonts w:hint="eastAsia" w:ascii="Times New Roman" w:hAnsi="Times New Roman" w:cs="Times New Roman"/>
          <w:color w:val="000000" w:themeColor="text1"/>
          <w:spacing w:val="2"/>
          <w:position w:val="-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pacing w:val="2"/>
          <w:position w:val="-30"/>
          <w:lang w:val="en-US" w:eastAsia="zh-CN"/>
          <w14:textFill>
            <w14:solidFill>
              <w14:schemeClr w14:val="tx1"/>
            </w14:solidFill>
          </w14:textFill>
        </w:rPr>
        <w:object>
          <v:shape id="_x0000_i1025" o:spt="75" type="#_x0000_t75" style="height:51.1pt;width:189.3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26">
            <o:LockedField>false</o:LockedField>
          </o:OLEObject>
        </w:object>
      </w:r>
    </w:p>
    <w:p>
      <w:pPr>
        <w:pStyle w:val="13"/>
        <w:spacing w:before="178" w:line="358" w:lineRule="auto"/>
        <w:ind w:right="57" w:firstLine="556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式中：T为时间分最高分值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,20分。</w:t>
      </w:r>
    </w:p>
    <w:p>
      <w:pPr>
        <w:widowControl/>
        <w:adjustRightInd w:val="0"/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1450" cy="228600"/>
            <wp:effectExtent l="0" t="0" r="0" b="0"/>
            <wp:docPr id="27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为所有参赛队中用时最少的时间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adjustRightInd w:val="0"/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0500" cy="238125"/>
            <wp:effectExtent l="0" t="0" r="0" b="0"/>
            <wp:docPr id="30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3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为所有参赛队中不超过规定最大时长的队伍中用时最多的时间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2875" cy="238125"/>
            <wp:effectExtent l="0" t="0" r="0" b="0"/>
            <wp:docPr id="33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02" cy="23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为各组的实际用时。</w:t>
      </w:r>
    </w:p>
    <w:p>
      <w:pPr>
        <w:widowControl/>
        <w:adjustRightIn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测量最大时长限制：60分钟，凡超过最大时长的小组，终止比赛。</w:t>
      </w:r>
    </w:p>
    <w:p>
      <w:pPr>
        <w:widowControl/>
        <w:spacing w:line="240" w:lineRule="atLeast"/>
        <w:jc w:val="left"/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  <w:bookmarkStart w:id="21" w:name="_Toc430848553"/>
      <w:bookmarkStart w:id="22" w:name="_Toc493108150"/>
      <w:bookmarkStart w:id="23" w:name="_Toc430790463"/>
      <w:bookmarkStart w:id="24" w:name="_Toc430790274"/>
      <w:bookmarkStart w:id="25" w:name="_Toc497426806"/>
      <w:bookmarkStart w:id="26" w:name="_Toc430789747"/>
      <w:bookmarkStart w:id="27" w:name="_Toc489273606"/>
      <w:bookmarkStart w:id="28" w:name="_Toc496621424"/>
      <w:bookmarkStart w:id="29" w:name="_Toc487037694"/>
      <w:bookmarkStart w:id="30" w:name="_Toc489260413"/>
      <w:bookmarkStart w:id="31" w:name="_Toc430790549"/>
      <w:bookmarkStart w:id="32" w:name="_Toc433362351"/>
      <w:bookmarkStart w:id="33" w:name="_Toc496607691"/>
      <w:r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附表4-1  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3"/>
        <w:spacing w:after="240" w:afterLines="100" w:line="560" w:lineRule="exact"/>
        <w:ind w:left="361" w:right="510" w:hanging="361" w:hangingChars="100"/>
        <w:jc w:val="center"/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施工放样赛项任务单</w:t>
      </w: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after="120"/>
        <w:jc w:val="center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（竞赛时长：60分钟）任务单编号：001</w:t>
      </w:r>
    </w:p>
    <w:p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注意：本任务单适用场地编号：</w:t>
      </w:r>
      <w:r>
        <w:rPr>
          <w:rFonts w:ascii="Times New Roman" w:hAnsi="Times New Roman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3</w:t>
      </w:r>
    </w:p>
    <w:p>
      <w:pPr>
        <w:spacing w:line="360" w:lineRule="auto"/>
        <w:rPr>
          <w:rFonts w:ascii="Times New Roman" w:hAnsi="Times New Roman" w:eastAsia="仿宋_GB2312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根据随机抽签结果，资料如下：</w:t>
      </w:r>
    </w:p>
    <w:tbl>
      <w:tblPr>
        <w:tblStyle w:val="38"/>
        <w:tblW w:w="0" w:type="auto"/>
        <w:tblInd w:w="-6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559"/>
        <w:gridCol w:w="1418"/>
        <w:gridCol w:w="1843"/>
        <w:gridCol w:w="708"/>
        <w:gridCol w:w="851"/>
        <w:gridCol w:w="850"/>
        <w:gridCol w:w="17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交点号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坐标N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坐标E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偏角(度-分-秒）        左偏为负右偏为正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曲线半径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前缓和曲线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后缓和曲线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起点里程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QD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2556602.4534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535782.6753 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388688</w:t>
            </w:r>
          </w:p>
        </w:tc>
      </w:tr>
      <w:tr>
        <w:trPr>
          <w:trHeight w:val="285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JD1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2553962.4343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536787.6574 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12°50 '40.9483 "</w:t>
            </w:r>
          </w:p>
        </w:tc>
        <w:tc>
          <w:tcPr>
            <w:tcW w:w="7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8000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350 </w:t>
            </w:r>
          </w:p>
        </w:tc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ZD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2550444.7865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537281.7635 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before="120" w:beforeLines="50" w:line="360" w:lineRule="auto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本场地已知控制点：</w:t>
      </w:r>
    </w:p>
    <w:tbl>
      <w:tblPr>
        <w:tblStyle w:val="38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1701"/>
        <w:gridCol w:w="17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点名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坐标N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坐标E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测站点：3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2554604.2657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536544.6698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定向点：3-1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2554656.6474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536515.2456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检核点：3-2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2554659.3653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536520.6100 </w:t>
            </w:r>
          </w:p>
        </w:tc>
      </w:tr>
    </w:tbl>
    <w:p>
      <w:pPr>
        <w:spacing w:before="120" w:beforeLines="50" w:line="360" w:lineRule="auto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第二套坐标系控制点：</w:t>
      </w:r>
    </w:p>
    <w:tbl>
      <w:tblPr>
        <w:tblStyle w:val="38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9"/>
        <w:gridCol w:w="1700"/>
        <w:gridCol w:w="17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点名</w:t>
            </w:r>
          </w:p>
        </w:tc>
        <w:tc>
          <w:tcPr>
            <w:tcW w:w="1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坐标N</w:t>
            </w:r>
          </w:p>
        </w:tc>
        <w:tc>
          <w:tcPr>
            <w:tcW w:w="1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坐标E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6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测站点：3’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2523028.8144 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669510.1344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6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检核点：3-2’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2523085.0977 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669488.9913 </w:t>
            </w:r>
          </w:p>
        </w:tc>
      </w:tr>
    </w:tbl>
    <w:p>
      <w:pPr>
        <w:spacing w:before="120" w:beforeLines="50" w:line="360" w:lineRule="auto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本题目指定放样点：</w:t>
      </w:r>
    </w:p>
    <w:tbl>
      <w:tblPr>
        <w:tblStyle w:val="38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276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点名</w:t>
            </w:r>
          </w:p>
        </w:tc>
        <w:tc>
          <w:tcPr>
            <w:tcW w:w="27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里程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放样点：A</w:t>
            </w:r>
          </w:p>
        </w:tc>
        <w:tc>
          <w:tcPr>
            <w:tcW w:w="27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DK390+784.0255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放样点：B</w:t>
            </w:r>
          </w:p>
        </w:tc>
        <w:tc>
          <w:tcPr>
            <w:tcW w:w="27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DK390+785.9069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放样点：C</w:t>
            </w:r>
          </w:p>
        </w:tc>
        <w:tc>
          <w:tcPr>
            <w:tcW w:w="27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DK390+790.8254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放样点：D</w:t>
            </w:r>
          </w:p>
        </w:tc>
        <w:tc>
          <w:tcPr>
            <w:tcW w:w="27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DK390+792.7143 </w:t>
            </w:r>
          </w:p>
        </w:tc>
      </w:tr>
    </w:tbl>
    <w:p>
      <w:pPr>
        <w:spacing w:before="120" w:beforeLines="50" w:line="360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注：以上单位为m；定向点与检核点采用棱镜类型：圆棱镜（棱镜常数0 mm）；放样小棱镜（型号：ADS112A）采用棱镜类型：小棱镜（棱镜常数17.5 mm）。</w:t>
      </w:r>
    </w:p>
    <w:p>
      <w:pPr>
        <w:spacing w:before="240" w:beforeLines="100"/>
        <w:ind w:firstLine="629"/>
        <w:rPr>
          <w:rFonts w:ascii="Times New Roman" w:hAnsi="Times New Roman" w:eastAsia="仿宋_GB2312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要求：</w:t>
      </w:r>
    </w:p>
    <w:p>
      <w:pPr>
        <w:ind w:firstLine="629"/>
        <w:rPr>
          <w:rFonts w:ascii="Times New Roman" w:hAnsi="Times New Roman" w:eastAsia="仿宋_GB2312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1.任务单上不得出现任何参赛队信息和记号，违者按作弊处理。</w:t>
      </w:r>
    </w:p>
    <w:p>
      <w:pPr>
        <w:ind w:firstLine="629"/>
        <w:rPr>
          <w:rFonts w:ascii="Times New Roman" w:hAnsi="Times New Roman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2.任务单、计算书等必须与《施工放样成果表》一起上交裁判。</w:t>
      </w:r>
    </w:p>
    <w:p>
      <w:pPr>
        <w:spacing w:line="480" w:lineRule="auto"/>
        <w:ind w:firstLine="630"/>
        <w:rPr>
          <w:rFonts w:ascii="Times New Roman" w:hAnsi="Times New Roman" w:eastAsia="楷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1907" w:h="16840"/>
          <w:pgMar w:top="1440" w:right="1800" w:bottom="1440" w:left="1800" w:header="851" w:footer="992" w:gutter="0"/>
          <w:pgNumType w:start="0"/>
          <w:cols w:space="708" w:num="1"/>
          <w:docGrid w:linePitch="317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4" w:name="_Toc487037695"/>
      <w:bookmarkStart w:id="35" w:name="_Toc433362352"/>
      <w:bookmarkStart w:id="36" w:name="_Toc489260414"/>
      <w:bookmarkStart w:id="37" w:name="_Toc489273607"/>
      <w:bookmarkStart w:id="38" w:name="_Toc430790275"/>
      <w:bookmarkStart w:id="39" w:name="_Toc430789748"/>
      <w:bookmarkStart w:id="40" w:name="_Toc430790464"/>
      <w:bookmarkStart w:id="41" w:name="_Toc430790550"/>
      <w:bookmarkStart w:id="42" w:name="_Toc430848554"/>
      <w:bookmarkStart w:id="43" w:name="_Toc493108151"/>
      <w:bookmarkStart w:id="44" w:name="_Toc497426807"/>
      <w:bookmarkStart w:id="45" w:name="_Toc496607692"/>
      <w:bookmarkStart w:id="46" w:name="_Toc496621425"/>
      <w:r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附表4-2  </w:t>
      </w:r>
    </w:p>
    <w:p>
      <w:pPr>
        <w:pStyle w:val="13"/>
        <w:spacing w:after="240" w:afterLines="100" w:line="560" w:lineRule="exact"/>
        <w:ind w:left="361" w:right="510" w:hanging="361" w:hangingChars="100"/>
        <w:jc w:val="center"/>
        <w:rPr>
          <w:rFonts w:ascii="Times New Roman" w:hAnsi="Times New Roman" w:eastAsia="楷体" w:cs="Times New Roman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施工放样成果表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（参考）</w:t>
      </w:r>
      <w:bookmarkEnd w:id="43"/>
      <w:bookmarkEnd w:id="44"/>
      <w:bookmarkEnd w:id="45"/>
      <w:bookmarkEnd w:id="46"/>
      <w:r>
        <w:rPr>
          <w:rFonts w:ascii="Times New Roman" w:hAnsi="Times New Roman" w:eastAsia="楷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</w:t>
      </w:r>
    </w:p>
    <w:tbl>
      <w:tblPr>
        <w:tblStyle w:val="3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5"/>
        <w:gridCol w:w="314"/>
        <w:gridCol w:w="1740"/>
        <w:gridCol w:w="1403"/>
        <w:gridCol w:w="1542"/>
        <w:gridCol w:w="1383"/>
        <w:gridCol w:w="1163"/>
        <w:gridCol w:w="69"/>
        <w:gridCol w:w="1124"/>
        <w:gridCol w:w="1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080" w:type="dxa"/>
            <w:gridSpan w:val="10"/>
            <w:tcBorders>
              <w:top w:val="single" w:color="auto" w:sz="8" w:space="0"/>
              <w:left w:val="single" w:color="auto" w:sz="8" w:space="0"/>
              <w:right w:val="single" w:color="000000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计算成果（m）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restart"/>
            <w:tcBorders>
              <w:top w:val="single" w:color="auto" w:sz="8" w:space="0"/>
              <w:lef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缓和曲线常数</w:t>
            </w:r>
          </w:p>
        </w:tc>
        <w:tc>
          <w:tcPr>
            <w:tcW w:w="2054" w:type="dxa"/>
            <w:gridSpan w:val="2"/>
            <w:tcBorders>
              <w:top w:val="single" w:color="auto" w:sz="8" w:space="0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缓和曲线切线角β(度分秒)</w:t>
            </w:r>
          </w:p>
        </w:tc>
        <w:tc>
          <w:tcPr>
            <w:tcW w:w="7901" w:type="dxa"/>
            <w:gridSpan w:val="7"/>
            <w:tcBorders>
              <w:top w:val="single" w:color="auto" w:sz="8" w:space="0"/>
              <w:left w:val="nil"/>
              <w:right w:val="single" w:color="000000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1°15'12.0426"（精确到秒，更高精度不扣分）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continue"/>
            <w:tcBorders>
              <w:top w:val="single" w:color="auto" w:sz="8" w:space="0"/>
              <w:left w:val="single" w:color="auto" w:sz="8" w:space="0"/>
            </w:tcBorders>
            <w:vAlign w:val="center"/>
          </w:tcPr>
          <w:p>
            <w:pPr>
              <w:widowControl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切垂距</w:t>
            </w:r>
            <w:r>
              <w:rPr>
                <w:rFonts w:ascii="Times New Roman" w:hAnsi="Times New Roman" w:eastAsia="仿宋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m</w:t>
            </w:r>
          </w:p>
        </w:tc>
        <w:tc>
          <w:tcPr>
            <w:tcW w:w="7901" w:type="dxa"/>
            <w:gridSpan w:val="7"/>
            <w:tcBorders>
              <w:left w:val="nil"/>
              <w:right w:val="single" w:color="000000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174.9972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continue"/>
            <w:tcBorders>
              <w:top w:val="single" w:color="auto" w:sz="8" w:space="0"/>
              <w:left w:val="single" w:color="auto" w:sz="8" w:space="0"/>
            </w:tcBorders>
            <w:vAlign w:val="center"/>
          </w:tcPr>
          <w:p>
            <w:pPr>
              <w:widowControl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内移距</w:t>
            </w:r>
            <w:r>
              <w:rPr>
                <w:rFonts w:ascii="Times New Roman" w:hAnsi="Times New Roman" w:eastAsia="楷体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  <w:tc>
          <w:tcPr>
            <w:tcW w:w="7901" w:type="dxa"/>
            <w:gridSpan w:val="7"/>
            <w:tcBorders>
              <w:left w:val="nil"/>
              <w:right w:val="single" w:color="000000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0.6380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restart"/>
            <w:tcBorders>
              <w:top w:val="nil"/>
              <w:lef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曲线要素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切线长</w:t>
            </w:r>
            <w:r>
              <w:rPr>
                <w:rFonts w:ascii="Times New Roman" w:hAnsi="Times New Roman" w:eastAsia="楷体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T</w:t>
            </w:r>
          </w:p>
        </w:tc>
        <w:tc>
          <w:tcPr>
            <w:tcW w:w="7901" w:type="dxa"/>
            <w:gridSpan w:val="7"/>
            <w:tcBorders>
              <w:left w:val="nil"/>
              <w:right w:val="single" w:color="000000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1075.5734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continue"/>
            <w:tcBorders>
              <w:top w:val="nil"/>
              <w:left w:val="single" w:color="auto" w:sz="8" w:space="0"/>
            </w:tcBorders>
            <w:vAlign w:val="center"/>
          </w:tcPr>
          <w:p>
            <w:pPr>
              <w:widowControl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曲线长</w:t>
            </w:r>
            <w:r>
              <w:rPr>
                <w:rFonts w:ascii="Times New Roman" w:hAnsi="Times New Roman" w:eastAsia="仿宋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L</w:t>
            </w:r>
          </w:p>
        </w:tc>
        <w:tc>
          <w:tcPr>
            <w:tcW w:w="7901" w:type="dxa"/>
            <w:gridSpan w:val="7"/>
            <w:tcBorders>
              <w:left w:val="nil"/>
              <w:right w:val="single" w:color="000000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2143.4596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continue"/>
            <w:tcBorders>
              <w:top w:val="nil"/>
              <w:left w:val="single" w:color="auto" w:sz="8" w:space="0"/>
            </w:tcBorders>
            <w:vAlign w:val="center"/>
          </w:tcPr>
          <w:p>
            <w:pPr>
              <w:widowControl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外矢距</w:t>
            </w:r>
            <w:r>
              <w:rPr>
                <w:rFonts w:ascii="Times New Roman" w:hAnsi="Times New Roman" w:eastAsia="仿宋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E</w:t>
            </w:r>
            <w:r>
              <w:rPr>
                <w:rFonts w:ascii="Times New Roman" w:hAnsi="Times New Roman" w:eastAsia="仿宋" w:cs="Times New Roman"/>
                <w:i/>
                <w:iCs/>
                <w:color w:val="000000" w:themeColor="text1"/>
                <w:sz w:val="28"/>
                <w:szCs w:val="28"/>
                <w:vertAlign w:val="subscript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901" w:type="dxa"/>
            <w:gridSpan w:val="7"/>
            <w:tcBorders>
              <w:left w:val="nil"/>
              <w:right w:val="single" w:color="000000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51.1643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continue"/>
            <w:tcBorders>
              <w:top w:val="nil"/>
              <w:left w:val="single" w:color="auto" w:sz="8" w:space="0"/>
            </w:tcBorders>
            <w:vAlign w:val="center"/>
          </w:tcPr>
          <w:p>
            <w:pPr>
              <w:widowControl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切曲差</w:t>
            </w:r>
            <w:r>
              <w:rPr>
                <w:rFonts w:ascii="Times New Roman" w:hAnsi="Times New Roman" w:eastAsia="仿宋" w:cs="Times New Roman"/>
                <w:i/>
                <w:i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q</w:t>
            </w:r>
          </w:p>
        </w:tc>
        <w:tc>
          <w:tcPr>
            <w:tcW w:w="7901" w:type="dxa"/>
            <w:gridSpan w:val="7"/>
            <w:tcBorders>
              <w:left w:val="nil"/>
              <w:right w:val="single" w:color="000000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7.6873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restart"/>
            <w:tcBorders>
              <w:top w:val="nil"/>
              <w:lef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曲线主点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特征点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里程</w:t>
            </w:r>
          </w:p>
        </w:tc>
        <w:tc>
          <w:tcPr>
            <w:tcW w:w="2615" w:type="dxa"/>
            <w:gridSpan w:val="3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北坐标X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东坐标Y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continue"/>
            <w:tcBorders>
              <w:top w:val="nil"/>
              <w:left w:val="single" w:color="auto" w:sz="8" w:space="0"/>
            </w:tcBorders>
            <w:vAlign w:val="center"/>
          </w:tcPr>
          <w:p>
            <w:pPr>
              <w:widowControl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直缓点ZH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390437.2611 </w:t>
            </w:r>
          </w:p>
        </w:tc>
        <w:tc>
          <w:tcPr>
            <w:tcW w:w="2615" w:type="dxa"/>
            <w:gridSpan w:val="3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2554967.6381 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536405.0042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continue"/>
            <w:tcBorders>
              <w:top w:val="nil"/>
              <w:left w:val="single" w:color="auto" w:sz="8" w:space="0"/>
            </w:tcBorders>
            <w:vAlign w:val="center"/>
          </w:tcPr>
          <w:p>
            <w:pPr>
              <w:widowControl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缓圆点HY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390787.2611 </w:t>
            </w:r>
          </w:p>
        </w:tc>
        <w:tc>
          <w:tcPr>
            <w:tcW w:w="2615" w:type="dxa"/>
            <w:gridSpan w:val="3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2554639.6447 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536527.1315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continue"/>
            <w:tcBorders>
              <w:top w:val="nil"/>
              <w:left w:val="single" w:color="auto" w:sz="8" w:space="0"/>
            </w:tcBorders>
            <w:vAlign w:val="center"/>
          </w:tcPr>
          <w:p>
            <w:pPr>
              <w:widowControl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曲中点QZ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391508.9909 </w:t>
            </w:r>
          </w:p>
        </w:tc>
        <w:tc>
          <w:tcPr>
            <w:tcW w:w="2615" w:type="dxa"/>
            <w:gridSpan w:val="3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2553949.6946 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536738.1046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continue"/>
            <w:tcBorders>
              <w:top w:val="nil"/>
              <w:left w:val="single" w:color="auto" w:sz="8" w:space="0"/>
            </w:tcBorders>
            <w:vAlign w:val="center"/>
          </w:tcPr>
          <w:p>
            <w:pPr>
              <w:widowControl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圆缓点YH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392230.7206 </w:t>
            </w:r>
          </w:p>
        </w:tc>
        <w:tc>
          <w:tcPr>
            <w:tcW w:w="2615" w:type="dxa"/>
            <w:gridSpan w:val="3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2553243.5430 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536886.0594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continue"/>
            <w:tcBorders>
              <w:top w:val="nil"/>
              <w:left w:val="single" w:color="auto" w:sz="8" w:space="0"/>
            </w:tcBorders>
            <w:vAlign w:val="center"/>
          </w:tcPr>
          <w:p>
            <w:pPr>
              <w:widowControl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缓直点HZ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392580.7206 </w:t>
            </w:r>
          </w:p>
        </w:tc>
        <w:tc>
          <w:tcPr>
            <w:tcW w:w="2615" w:type="dxa"/>
            <w:gridSpan w:val="3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2552897.3172 </w:t>
            </w:r>
          </w:p>
        </w:tc>
        <w:tc>
          <w:tcPr>
            <w:tcW w:w="2341" w:type="dxa"/>
            <w:gridSpan w:val="2"/>
            <w:tcBorders>
              <w:top w:val="nil"/>
              <w:left w:val="nil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536937.2690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restart"/>
            <w:tcBorders>
              <w:top w:val="nil"/>
              <w:left w:val="single" w:color="auto" w:sz="8" w:space="0"/>
            </w:tcBorders>
            <w:noWrap/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指定中桩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指定点里程</w:t>
            </w:r>
          </w:p>
        </w:tc>
        <w:tc>
          <w:tcPr>
            <w:tcW w:w="4328" w:type="dxa"/>
            <w:gridSpan w:val="3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北坐标X</w:t>
            </w:r>
          </w:p>
        </w:tc>
        <w:tc>
          <w:tcPr>
            <w:tcW w:w="3573" w:type="dxa"/>
            <w:gridSpan w:val="4"/>
            <w:tcBorders>
              <w:top w:val="nil"/>
              <w:left w:val="nil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东坐标Y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DK390+784.0255 </w:t>
            </w:r>
          </w:p>
        </w:tc>
        <w:tc>
          <w:tcPr>
            <w:tcW w:w="4328" w:type="dxa"/>
            <w:gridSpan w:val="3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2554642.6928 </w:t>
            </w:r>
          </w:p>
        </w:tc>
        <w:tc>
          <w:tcPr>
            <w:tcW w:w="3573" w:type="dxa"/>
            <w:gridSpan w:val="4"/>
            <w:tcBorders>
              <w:top w:val="nil"/>
              <w:left w:val="nil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536526.0462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DK390+785.9069 </w:t>
            </w:r>
          </w:p>
        </w:tc>
        <w:tc>
          <w:tcPr>
            <w:tcW w:w="4328" w:type="dxa"/>
            <w:gridSpan w:val="3"/>
            <w:tcBorders>
              <w:top w:val="nil"/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2554640.9205 </w:t>
            </w:r>
          </w:p>
        </w:tc>
        <w:tc>
          <w:tcPr>
            <w:tcW w:w="3573" w:type="dxa"/>
            <w:gridSpan w:val="4"/>
            <w:tcBorders>
              <w:top w:val="nil"/>
              <w:left w:val="nil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536526.6775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widowControl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4" w:type="dxa"/>
            <w:gridSpan w:val="2"/>
            <w:tcBorders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DK390+790.8254 </w:t>
            </w:r>
          </w:p>
        </w:tc>
        <w:tc>
          <w:tcPr>
            <w:tcW w:w="4328" w:type="dxa"/>
            <w:gridSpan w:val="3"/>
            <w:tcBorders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2554636.2863 </w:t>
            </w:r>
          </w:p>
        </w:tc>
        <w:tc>
          <w:tcPr>
            <w:tcW w:w="3573" w:type="dxa"/>
            <w:gridSpan w:val="4"/>
            <w:tcBorders>
              <w:left w:val="nil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536528.3257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25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widowControl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4" w:type="dxa"/>
            <w:gridSpan w:val="2"/>
            <w:tcBorders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DK390+792.7143 </w:t>
            </w:r>
          </w:p>
        </w:tc>
        <w:tc>
          <w:tcPr>
            <w:tcW w:w="4328" w:type="dxa"/>
            <w:gridSpan w:val="3"/>
            <w:tcBorders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2554634.5064 </w:t>
            </w:r>
          </w:p>
        </w:tc>
        <w:tc>
          <w:tcPr>
            <w:tcW w:w="3573" w:type="dxa"/>
            <w:gridSpan w:val="4"/>
            <w:tcBorders>
              <w:left w:val="nil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536528.9579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080" w:type="dxa"/>
            <w:gridSpan w:val="10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检核点检核表（第一套坐标系控制点设站）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39" w:type="dxa"/>
            <w:gridSpan w:val="2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检核点名</w:t>
            </w:r>
          </w:p>
        </w:tc>
        <w:tc>
          <w:tcPr>
            <w:tcW w:w="3143" w:type="dxa"/>
            <w:gridSpan w:val="2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已知坐标（m）</w:t>
            </w:r>
          </w:p>
        </w:tc>
        <w:tc>
          <w:tcPr>
            <w:tcW w:w="2925" w:type="dxa"/>
            <w:gridSpan w:val="2"/>
            <w:tcBorders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实测坐标（m）</w:t>
            </w:r>
          </w:p>
        </w:tc>
        <w:tc>
          <w:tcPr>
            <w:tcW w:w="3573" w:type="dxa"/>
            <w:gridSpan w:val="4"/>
            <w:tcBorders>
              <w:left w:val="nil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检核点较差(mm)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39" w:type="dxa"/>
            <w:gridSpan w:val="2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40" w:type="dxa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X</w:t>
            </w:r>
          </w:p>
        </w:tc>
        <w:tc>
          <w:tcPr>
            <w:tcW w:w="1403" w:type="dxa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542" w:type="dxa"/>
            <w:tcBorders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X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163" w:type="dxa"/>
            <w:tcBorders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Δx</w:t>
            </w:r>
          </w:p>
        </w:tc>
        <w:tc>
          <w:tcPr>
            <w:tcW w:w="1193" w:type="dxa"/>
            <w:gridSpan w:val="2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Δy</w:t>
            </w:r>
          </w:p>
        </w:tc>
        <w:tc>
          <w:tcPr>
            <w:tcW w:w="1217" w:type="dxa"/>
            <w:tcBorders>
              <w:left w:val="nil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Δd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39" w:type="dxa"/>
            <w:gridSpan w:val="2"/>
            <w:tcBorders>
              <w:lef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3-2</w:t>
            </w:r>
          </w:p>
        </w:tc>
        <w:tc>
          <w:tcPr>
            <w:tcW w:w="1740" w:type="dxa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2533229.1831</w:t>
            </w:r>
          </w:p>
        </w:tc>
        <w:tc>
          <w:tcPr>
            <w:tcW w:w="1403" w:type="dxa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494984.0163</w:t>
            </w:r>
          </w:p>
        </w:tc>
        <w:tc>
          <w:tcPr>
            <w:tcW w:w="1542" w:type="dxa"/>
            <w:tcBorders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2533229.1816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494984.0188</w:t>
            </w:r>
          </w:p>
        </w:tc>
        <w:tc>
          <w:tcPr>
            <w:tcW w:w="1163" w:type="dxa"/>
            <w:tcBorders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-1.5</w:t>
            </w:r>
          </w:p>
        </w:tc>
        <w:tc>
          <w:tcPr>
            <w:tcW w:w="1193" w:type="dxa"/>
            <w:gridSpan w:val="2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2.5</w:t>
            </w:r>
          </w:p>
        </w:tc>
        <w:tc>
          <w:tcPr>
            <w:tcW w:w="1217" w:type="dxa"/>
            <w:tcBorders>
              <w:left w:val="nil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080" w:type="dxa"/>
            <w:gridSpan w:val="10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放样点位实测坐标与理论坐标较差成果表（第二套坐标系控制点设站）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39" w:type="dxa"/>
            <w:gridSpan w:val="2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放样点里程</w:t>
            </w:r>
          </w:p>
        </w:tc>
        <w:tc>
          <w:tcPr>
            <w:tcW w:w="3143" w:type="dxa"/>
            <w:gridSpan w:val="2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理论坐标（m）</w:t>
            </w:r>
          </w:p>
        </w:tc>
        <w:tc>
          <w:tcPr>
            <w:tcW w:w="2925" w:type="dxa"/>
            <w:gridSpan w:val="2"/>
            <w:tcBorders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实测坐标（m）</w:t>
            </w:r>
          </w:p>
        </w:tc>
        <w:tc>
          <w:tcPr>
            <w:tcW w:w="3573" w:type="dxa"/>
            <w:gridSpan w:val="4"/>
            <w:tcBorders>
              <w:left w:val="nil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放样点较差(mm)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39" w:type="dxa"/>
            <w:gridSpan w:val="2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40" w:type="dxa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X</w:t>
            </w:r>
          </w:p>
        </w:tc>
        <w:tc>
          <w:tcPr>
            <w:tcW w:w="1403" w:type="dxa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542" w:type="dxa"/>
            <w:tcBorders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X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163" w:type="dxa"/>
            <w:tcBorders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Δx</w:t>
            </w:r>
          </w:p>
        </w:tc>
        <w:tc>
          <w:tcPr>
            <w:tcW w:w="1193" w:type="dxa"/>
            <w:gridSpan w:val="2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Δy</w:t>
            </w:r>
          </w:p>
        </w:tc>
        <w:tc>
          <w:tcPr>
            <w:tcW w:w="1217" w:type="dxa"/>
            <w:tcBorders>
              <w:left w:val="nil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Δd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39" w:type="dxa"/>
            <w:gridSpan w:val="2"/>
            <w:tcBorders>
              <w:left w:val="single" w:color="auto" w:sz="8" w:space="0"/>
            </w:tcBorders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DK390+784.0255 </w:t>
            </w:r>
          </w:p>
        </w:tc>
        <w:tc>
          <w:tcPr>
            <w:tcW w:w="1740" w:type="dxa"/>
            <w:tcBorders>
              <w:left w:val="nil"/>
            </w:tcBorders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  <w:tc>
          <w:tcPr>
            <w:tcW w:w="1403" w:type="dxa"/>
            <w:tcBorders>
              <w:left w:val="nil"/>
            </w:tcBorders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  <w:tc>
          <w:tcPr>
            <w:tcW w:w="1542" w:type="dxa"/>
            <w:tcBorders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2523068.1635 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669493.5475 </w:t>
            </w:r>
          </w:p>
        </w:tc>
        <w:tc>
          <w:tcPr>
            <w:tcW w:w="1163" w:type="dxa"/>
            <w:tcBorders>
              <w:left w:val="nil"/>
            </w:tcBorders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  <w:tc>
          <w:tcPr>
            <w:tcW w:w="1193" w:type="dxa"/>
            <w:gridSpan w:val="2"/>
            <w:tcBorders>
              <w:left w:val="nil"/>
            </w:tcBorders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  <w:tc>
          <w:tcPr>
            <w:tcW w:w="1217" w:type="dxa"/>
            <w:tcBorders>
              <w:left w:val="nil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39" w:type="dxa"/>
            <w:gridSpan w:val="2"/>
            <w:tcBorders>
              <w:left w:val="single" w:color="auto" w:sz="8" w:space="0"/>
            </w:tcBorders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DK390+785.9069 </w:t>
            </w:r>
          </w:p>
        </w:tc>
        <w:tc>
          <w:tcPr>
            <w:tcW w:w="1740" w:type="dxa"/>
            <w:tcBorders>
              <w:left w:val="nil"/>
            </w:tcBorders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  <w:tc>
          <w:tcPr>
            <w:tcW w:w="1403" w:type="dxa"/>
            <w:tcBorders>
              <w:left w:val="nil"/>
            </w:tcBorders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  <w:tc>
          <w:tcPr>
            <w:tcW w:w="1542" w:type="dxa"/>
            <w:tcBorders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2523066.3605 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669494.0851 </w:t>
            </w:r>
          </w:p>
        </w:tc>
        <w:tc>
          <w:tcPr>
            <w:tcW w:w="1163" w:type="dxa"/>
            <w:tcBorders>
              <w:left w:val="nil"/>
            </w:tcBorders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  <w:tc>
          <w:tcPr>
            <w:tcW w:w="1193" w:type="dxa"/>
            <w:gridSpan w:val="2"/>
            <w:tcBorders>
              <w:left w:val="nil"/>
            </w:tcBorders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  <w:tc>
          <w:tcPr>
            <w:tcW w:w="1217" w:type="dxa"/>
            <w:tcBorders>
              <w:left w:val="nil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39" w:type="dxa"/>
            <w:gridSpan w:val="2"/>
            <w:tcBorders>
              <w:left w:val="single" w:color="auto" w:sz="8" w:space="0"/>
            </w:tcBorders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DK390+790.8254 </w:t>
            </w:r>
          </w:p>
        </w:tc>
        <w:tc>
          <w:tcPr>
            <w:tcW w:w="1740" w:type="dxa"/>
            <w:tcBorders>
              <w:left w:val="nil"/>
            </w:tcBorders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  <w:tc>
          <w:tcPr>
            <w:tcW w:w="1403" w:type="dxa"/>
            <w:tcBorders>
              <w:left w:val="nil"/>
            </w:tcBorders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  <w:tc>
          <w:tcPr>
            <w:tcW w:w="1542" w:type="dxa"/>
            <w:tcBorders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2523061.6465 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669495.4886 </w:t>
            </w:r>
          </w:p>
        </w:tc>
        <w:tc>
          <w:tcPr>
            <w:tcW w:w="1163" w:type="dxa"/>
            <w:tcBorders>
              <w:left w:val="nil"/>
            </w:tcBorders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  <w:tc>
          <w:tcPr>
            <w:tcW w:w="1193" w:type="dxa"/>
            <w:gridSpan w:val="2"/>
            <w:tcBorders>
              <w:left w:val="nil"/>
            </w:tcBorders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  <w:tc>
          <w:tcPr>
            <w:tcW w:w="1217" w:type="dxa"/>
            <w:tcBorders>
              <w:left w:val="nil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439" w:type="dxa"/>
            <w:gridSpan w:val="2"/>
            <w:tcBorders>
              <w:left w:val="single" w:color="auto" w:sz="8" w:space="0"/>
            </w:tcBorders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DK390+792.7143 </w:t>
            </w:r>
          </w:p>
        </w:tc>
        <w:tc>
          <w:tcPr>
            <w:tcW w:w="1740" w:type="dxa"/>
            <w:tcBorders>
              <w:left w:val="nil"/>
            </w:tcBorders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  <w:tc>
          <w:tcPr>
            <w:tcW w:w="1403" w:type="dxa"/>
            <w:tcBorders>
              <w:left w:val="nil"/>
            </w:tcBorders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  <w:tc>
          <w:tcPr>
            <w:tcW w:w="1542" w:type="dxa"/>
            <w:tcBorders>
              <w:lef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2523059.8359 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669496.0268 </w:t>
            </w:r>
          </w:p>
        </w:tc>
        <w:tc>
          <w:tcPr>
            <w:tcW w:w="1163" w:type="dxa"/>
            <w:tcBorders>
              <w:left w:val="nil"/>
            </w:tcBorders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  <w:tc>
          <w:tcPr>
            <w:tcW w:w="1193" w:type="dxa"/>
            <w:gridSpan w:val="2"/>
            <w:tcBorders>
              <w:left w:val="nil"/>
            </w:tcBorders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  <w:tc>
          <w:tcPr>
            <w:tcW w:w="1217" w:type="dxa"/>
            <w:tcBorders>
              <w:left w:val="nil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裁判填写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080" w:type="dxa"/>
            <w:gridSpan w:val="10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备注：放样点理论坐标和放样点较差由裁判员填写计算,其余由参赛队填写。</w:t>
            </w:r>
          </w:p>
          <w:p>
            <w:pP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坐标计算与理论较差±3mm之内视为正确；缓和曲线切线角计算结果均取位至秒，坐标计算与理论较差±2"之内视为正确，其他精确到0.0001。</w:t>
            </w:r>
          </w:p>
        </w:tc>
      </w:tr>
    </w:tbl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1907" w:h="16840"/>
          <w:pgMar w:top="720" w:right="720" w:bottom="720" w:left="720" w:header="851" w:footer="992" w:gutter="0"/>
          <w:cols w:space="708" w:num="1"/>
          <w:docGrid w:linePitch="317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47" w:name="_Toc489260417"/>
      <w:bookmarkStart w:id="48" w:name="_Toc430790467"/>
      <w:bookmarkStart w:id="49" w:name="_Toc487037698"/>
      <w:bookmarkStart w:id="50" w:name="_Toc497426808"/>
      <w:bookmarkStart w:id="51" w:name="_Toc430789751"/>
      <w:bookmarkStart w:id="52" w:name="_Toc493108154"/>
      <w:bookmarkStart w:id="53" w:name="_Toc496621426"/>
      <w:bookmarkStart w:id="54" w:name="_Toc430790278"/>
      <w:bookmarkStart w:id="55" w:name="_Toc496607693"/>
      <w:bookmarkStart w:id="56" w:name="_Toc489273610"/>
      <w:bookmarkStart w:id="57" w:name="_Toc433362355"/>
      <w:bookmarkStart w:id="58" w:name="_Toc430848557"/>
      <w:bookmarkStart w:id="59" w:name="_Toc430790553"/>
      <w:r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附表4-3  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510" w:hanging="361" w:hangingChars="100"/>
        <w:jc w:val="center"/>
        <w:textAlignment w:val="auto"/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施工放样评分表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>
      <w:pPr>
        <w:widowControl/>
        <w:adjustRightInd w:val="0"/>
        <w:snapToGrid w:val="0"/>
        <w:spacing w:line="360" w:lineRule="auto"/>
        <w:rPr>
          <w:rFonts w:ascii="Times New Roman" w:hAnsi="Times New Roman" w:eastAsia="楷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参赛队编号：</w:t>
      </w:r>
      <w:r>
        <w:rPr>
          <w:rFonts w:ascii="Times New Roman" w:hAnsi="Times New Roman" w:eastAsia="宋体" w:cs="Times New Roman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场地编号：</w:t>
      </w:r>
      <w:r>
        <w:rPr>
          <w:rFonts w:ascii="Times New Roman" w:hAnsi="Times New Roman" w:eastAsia="宋体" w:cs="Times New Roman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总用时：</w:t>
      </w:r>
      <w:r>
        <w:rPr>
          <w:rFonts w:ascii="Times New Roman" w:hAnsi="Times New Roman" w:eastAsia="宋体" w:cs="Times New Roman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分</w:t>
      </w:r>
      <w:r>
        <w:rPr>
          <w:rFonts w:ascii="Times New Roman" w:hAnsi="Times New Roman" w:eastAsia="宋体" w:cs="Times New Roman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秒</w:t>
      </w:r>
    </w:p>
    <w:tbl>
      <w:tblPr>
        <w:tblStyle w:val="3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2"/>
        <w:gridCol w:w="5995"/>
        <w:gridCol w:w="960"/>
        <w:gridCol w:w="5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147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内 容</w:t>
            </w:r>
          </w:p>
        </w:tc>
        <w:tc>
          <w:tcPr>
            <w:tcW w:w="599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评 分 标 准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违规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次（站）数</w:t>
            </w:r>
          </w:p>
        </w:tc>
        <w:tc>
          <w:tcPr>
            <w:tcW w:w="5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计算成果（30分）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扣完为止</w:t>
            </w:r>
          </w:p>
        </w:tc>
        <w:tc>
          <w:tcPr>
            <w:tcW w:w="5995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缓和曲线常数三个：β、m、P，每缺少1项或计算错误1项扣2分。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dxa"/>
            <w:vMerge w:val="continue"/>
            <w:vAlign w:val="center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95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曲线要素四个：T、L、E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、q，每缺少1项或计算错误1项扣2分。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dxa"/>
            <w:vMerge w:val="continue"/>
            <w:vAlign w:val="center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95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主点ZH、HY、QZ、YH、HZ里程，每缺少1项或计算错误1项扣2分。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dxa"/>
            <w:vMerge w:val="continue"/>
            <w:vAlign w:val="center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95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主点ZH、HY、QZ、YH、HZ坐标，每缺少1项或计算错误1项扣2分。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dxa"/>
            <w:vMerge w:val="continue"/>
            <w:vAlign w:val="center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95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指定的4个中桩点的坐标，每缺少1项或计算错误1项扣2分。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472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放样精度（40分）</w:t>
            </w:r>
          </w:p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扣完为止</w:t>
            </w:r>
          </w:p>
        </w:tc>
        <w:tc>
          <w:tcPr>
            <w:tcW w:w="5995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没有利用检核点检核扣40分。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dxa"/>
            <w:vMerge w:val="continue"/>
            <w:vAlign w:val="center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95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每个放样点的点位精度超过2cm扣10分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操作过程和记录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规范性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（10分）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扣完为止</w:t>
            </w:r>
          </w:p>
        </w:tc>
        <w:tc>
          <w:tcPr>
            <w:tcW w:w="5995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携带设备（全站仪、脚架等）跑步，每人违规一次扣2分。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95" w:type="dxa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选手每人放样2点，选手如不轮换测设工作，轮换错误1人扣5分。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95" w:type="dxa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放样中用棱镜杆在地面刻画标记，刻画一处标记扣5分。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95" w:type="dxa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比赛过程中，教练进入比赛场地或在场外进行指导，违规1次扣5分。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95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成果表就字改字或连环涂改，违反一处扣2分。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（20分）</w:t>
            </w:r>
          </w:p>
        </w:tc>
        <w:tc>
          <w:tcPr>
            <w:tcW w:w="5995" w:type="dxa"/>
            <w:vAlign w:val="center"/>
          </w:tcPr>
          <w:p>
            <w:pPr>
              <w:widowControl/>
              <w:spacing w:line="240" w:lineRule="atLeast"/>
              <w:rPr>
                <w:rFonts w:hint="eastAsia" w:ascii="宋体" w:hAnsi="宋体" w:eastAsia="宋体" w:cs="宋体"/>
                <w:color w:val="000000" w:themeColor="text1"/>
                <w:position w:val="-3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137410" cy="393065"/>
                  <wp:effectExtent l="0" t="0" r="15240" b="6985"/>
                  <wp:docPr id="36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240" w:lineRule="atLeas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sub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为所有参赛队中用时最少的竞赛时间。</w:t>
            </w:r>
          </w:p>
          <w:p>
            <w:pPr>
              <w:widowControl/>
              <w:spacing w:line="240" w:lineRule="atLeas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sub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所有参赛队中不超过规定最大时长的队伍中用时最多的竞赛时间。</w:t>
            </w:r>
          </w:p>
          <w:p>
            <w:pPr>
              <w:widowControl/>
              <w:spacing w:line="240" w:lineRule="atLeas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sub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为各队的实际用时。</w:t>
            </w:r>
          </w:p>
          <w:p>
            <w:pP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最大时长限制：60分钟。计算分值精确到0.1分。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946" w:type="dxa"/>
            <w:gridSpan w:val="4"/>
            <w:vAlign w:val="center"/>
          </w:tcPr>
          <w:p>
            <w:pPr>
              <w:widowControl/>
              <w:rPr>
                <w:rFonts w:hint="eastAsia"/>
              </w:rPr>
            </w:pPr>
            <w:r>
              <w:rPr>
                <w:rFonts w:hint="eastAsia"/>
              </w:rPr>
              <w:t>说明：                                             合计扣分：</w:t>
            </w:r>
          </w:p>
          <w:p>
            <w:pPr>
              <w:pStyle w:val="2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                                                      得 分：</w:t>
            </w:r>
          </w:p>
          <w:p>
            <w:pPr>
              <w:pStyle w:val="2"/>
              <w:rPr>
                <w:rFonts w:hint="eastAsia"/>
              </w:rPr>
            </w:pPr>
          </w:p>
        </w:tc>
      </w:tr>
    </w:tbl>
    <w:p>
      <w:pPr>
        <w:widowControl/>
        <w:spacing w:line="240" w:lineRule="atLeast"/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备注：指定放样中桩点坐标全部计算错误本队成绩为零，计时不参与计时分值计算。</w:t>
      </w: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1906" w:h="16838"/>
          <w:pgMar w:top="1985" w:right="1588" w:bottom="1985" w:left="1588" w:header="851" w:footer="992" w:gutter="0"/>
          <w:cols w:space="708" w:num="1"/>
          <w:docGrid w:type="lines" w:linePitch="312" w:charSpace="0"/>
        </w:sectPr>
      </w:pPr>
    </w:p>
    <w:p>
      <w:pPr>
        <w:spacing w:line="560" w:lineRule="exact"/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附表4-4  </w:t>
      </w:r>
    </w:p>
    <w:p>
      <w:pPr>
        <w:pStyle w:val="13"/>
        <w:spacing w:before="61"/>
        <w:ind w:right="508"/>
        <w:rPr>
          <w:rFonts w:ascii="Times New Roman" w:hAnsi="Times New Roman" w:eastAsia="仿宋_GB2312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3"/>
        <w:spacing w:after="312" w:afterLines="100" w:line="560" w:lineRule="exact"/>
        <w:ind w:left="361" w:right="510" w:hanging="361" w:hangingChars="100"/>
        <w:jc w:val="center"/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小标宋简体" w:cs="Times New Roman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比赛现场设备、工具、材料清单表</w:t>
      </w:r>
    </w:p>
    <w:tbl>
      <w:tblPr>
        <w:tblStyle w:val="3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5311"/>
        <w:gridCol w:w="1214"/>
        <w:gridCol w:w="23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31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121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234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31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国产全站仪（型号：GS05，0.5″/1+ppm）：及配套的棱镜（含基座）2个、3个脚架，放样小棱镜1套（型号：ADS112A）。</w:t>
            </w:r>
          </w:p>
        </w:tc>
        <w:tc>
          <w:tcPr>
            <w:tcW w:w="121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234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每队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31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手簿和桥隧施工测量软件</w:t>
            </w:r>
          </w:p>
        </w:tc>
        <w:tc>
          <w:tcPr>
            <w:tcW w:w="121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234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每队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31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5m钢卷尺</w:t>
            </w:r>
          </w:p>
        </w:tc>
        <w:tc>
          <w:tcPr>
            <w:tcW w:w="121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1个</w:t>
            </w:r>
          </w:p>
        </w:tc>
        <w:tc>
          <w:tcPr>
            <w:tcW w:w="234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每队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31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非编程计算器（型号：卡西欧fx-991CN X）</w:t>
            </w:r>
          </w:p>
        </w:tc>
        <w:tc>
          <w:tcPr>
            <w:tcW w:w="121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234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每队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1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三角板1个，铅笔4支，签字笔2支； </w:t>
            </w:r>
          </w:p>
        </w:tc>
        <w:tc>
          <w:tcPr>
            <w:tcW w:w="121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234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每队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1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削笔刀1个和橡皮1块。</w:t>
            </w:r>
          </w:p>
        </w:tc>
        <w:tc>
          <w:tcPr>
            <w:tcW w:w="121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234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每队</w:t>
            </w:r>
          </w:p>
        </w:tc>
      </w:tr>
    </w:tbl>
    <w:p>
      <w:pPr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注：1.组织方提供的设备、工具、材料等不得带离比赛区。</w:t>
      </w:r>
    </w:p>
    <w:p>
      <w:pPr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2.本表设备具体数量根据参赛队伍确定调整。</w:t>
      </w:r>
    </w:p>
    <w:p>
      <w:pPr>
        <w:spacing w:line="56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3"/>
        <w:spacing w:before="61" w:line="560" w:lineRule="exact"/>
        <w:ind w:right="508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</w:pPr>
    </w:p>
    <w:p>
      <w:pPr>
        <w:pStyle w:val="13"/>
        <w:spacing w:before="61" w:line="560" w:lineRule="exact"/>
        <w:ind w:right="508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</w:pPr>
    </w:p>
    <w:p>
      <w:pPr>
        <w:pStyle w:val="13"/>
        <w:spacing w:before="61" w:line="560" w:lineRule="exact"/>
        <w:ind w:right="508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</w:pPr>
    </w:p>
    <w:p>
      <w:pPr>
        <w:pStyle w:val="13"/>
        <w:spacing w:before="61" w:line="560" w:lineRule="exact"/>
        <w:ind w:right="508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bidi="ar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footerReference r:id="rId11" w:type="default"/>
          <w:footerReference r:id="rId12" w:type="even"/>
          <w:pgSz w:w="11906" w:h="16838"/>
          <w:pgMar w:top="1985" w:right="1588" w:bottom="1985" w:left="1588" w:header="851" w:footer="992" w:gutter="0"/>
          <w:cols w:space="708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黑体" w:hAnsi="黑体" w:eastAsia="黑体" w:cs="Times New Roman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附件5竞赛决赛设备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54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green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 xml:space="preserve">附表5-1 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隧道衬砌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缺陷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无损检测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设备</w:t>
      </w:r>
    </w:p>
    <w:tbl>
      <w:tblPr>
        <w:tblStyle w:val="38"/>
        <w:tblW w:w="477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6"/>
        <w:gridCol w:w="6772"/>
        <w:gridCol w:w="3479"/>
        <w:gridCol w:w="14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60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仿宋_GB2312" w:hAnsi="微软雅黑" w:eastAsia="仿宋_GB2312"/>
                <w:b/>
              </w:rPr>
            </w:pPr>
            <w:r>
              <w:rPr>
                <w:rFonts w:hint="eastAsia" w:ascii="仿宋_GB2312" w:hAnsi="微软雅黑" w:eastAsia="仿宋_GB2312"/>
                <w:b/>
              </w:rPr>
              <w:t>名称</w:t>
            </w:r>
          </w:p>
        </w:tc>
        <w:tc>
          <w:tcPr>
            <w:tcW w:w="255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仿宋_GB2312" w:hAnsi="微软雅黑" w:eastAsia="仿宋_GB2312"/>
                <w:b/>
              </w:rPr>
            </w:pPr>
            <w:r>
              <w:rPr>
                <w:rFonts w:hint="eastAsia" w:ascii="仿宋_GB2312" w:hAnsi="微软雅黑" w:eastAsia="仿宋_GB2312"/>
                <w:b/>
              </w:rPr>
              <w:t>基本参数</w:t>
            </w:r>
          </w:p>
        </w:tc>
        <w:tc>
          <w:tcPr>
            <w:tcW w:w="131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default" w:ascii="仿宋_GB2312" w:hAnsi="微软雅黑" w:eastAsia="仿宋_GB2312"/>
                <w:b/>
                <w:lang w:val="en-US" w:eastAsia="zh-CN"/>
              </w:rPr>
            </w:pPr>
            <w:r>
              <w:rPr>
                <w:rFonts w:hint="eastAsia" w:ascii="仿宋_GB2312" w:hAnsi="微软雅黑" w:eastAsia="仿宋_GB2312"/>
                <w:b/>
                <w:lang w:val="en-US" w:eastAsia="zh-CN"/>
              </w:rPr>
              <w:t>设备图片</w:t>
            </w:r>
          </w:p>
        </w:tc>
        <w:tc>
          <w:tcPr>
            <w:tcW w:w="53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仿宋_GB2312" w:hAnsi="微软雅黑" w:eastAsia="仿宋_GB2312"/>
                <w:b/>
              </w:rPr>
            </w:pPr>
            <w:r>
              <w:rPr>
                <w:rFonts w:hint="eastAsia" w:ascii="仿宋_GB2312" w:hAnsi="微软雅黑" w:eastAsia="仿宋_GB2312"/>
                <w:b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60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仿宋_GB2312" w:hAnsi="微软雅黑" w:eastAsia="仿宋_GB2312"/>
                <w:bCs/>
                <w:shd w:val="clear" w:color="auto" w:fill="FFFF00"/>
              </w:rPr>
            </w:pPr>
            <w:r>
              <w:rPr>
                <w:rFonts w:hint="eastAsia" w:ascii="仿宋_GB2312" w:hAnsi="微软雅黑" w:eastAsia="仿宋_GB2312"/>
                <w:bCs/>
              </w:rPr>
              <w:t>冲击回波声频检测仪</w:t>
            </w:r>
          </w:p>
        </w:tc>
        <w:tc>
          <w:tcPr>
            <w:tcW w:w="255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</w:rPr>
              <w:t>1.功能：仪器可对混凝土结构的脱空，缺陷，厚度（埋深）不均一等质量问题进行无损检测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  <w:lang w:val="en-US" w:eastAsia="zh-CN"/>
              </w:rPr>
              <w:t>2</w:t>
            </w:r>
            <w:r>
              <w:rPr>
                <w:rFonts w:hint="eastAsia" w:ascii="仿宋_GB2312" w:hAnsi="微软雅黑" w:eastAsia="仿宋_GB2312"/>
                <w:bCs/>
              </w:rPr>
              <w:t>.通讯方式：无线，USB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  <w:lang w:val="en-US" w:eastAsia="zh-CN"/>
              </w:rPr>
              <w:t>3</w:t>
            </w:r>
            <w:r>
              <w:rPr>
                <w:rFonts w:hint="eastAsia" w:ascii="仿宋_GB2312" w:hAnsi="微软雅黑" w:eastAsia="仿宋_GB2312"/>
                <w:bCs/>
              </w:rPr>
              <w:t>.测试通道数：2通道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  <w:lang w:val="en-US" w:eastAsia="zh-CN"/>
              </w:rPr>
              <w:t>4</w:t>
            </w:r>
            <w:r>
              <w:rPr>
                <w:rFonts w:hint="eastAsia" w:ascii="仿宋_GB2312" w:hAnsi="微软雅黑" w:eastAsia="仿宋_GB2312"/>
                <w:bCs/>
              </w:rPr>
              <w:t>.传感器类型：传声器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  <w:lang w:val="en-US" w:eastAsia="zh-CN"/>
              </w:rPr>
              <w:t>5</w:t>
            </w:r>
            <w:r>
              <w:rPr>
                <w:rFonts w:hint="eastAsia" w:ascii="仿宋_GB2312" w:hAnsi="微软雅黑" w:eastAsia="仿宋_GB2312"/>
                <w:bCs/>
              </w:rPr>
              <w:t>.噪音处理及频谱分析：移动平滑、BPF、EMD、小波降噪，FFT、MEM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  <w:lang w:val="en-US" w:eastAsia="zh-CN"/>
              </w:rPr>
              <w:t>6</w:t>
            </w:r>
            <w:r>
              <w:rPr>
                <w:rFonts w:hint="eastAsia" w:ascii="仿宋_GB2312" w:hAnsi="微软雅黑" w:eastAsia="仿宋_GB2312"/>
                <w:bCs/>
              </w:rPr>
              <w:t>.采样模式：单次、连续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  <w:lang w:val="en-US" w:eastAsia="zh-CN"/>
              </w:rPr>
              <w:t>7</w:t>
            </w:r>
            <w:r>
              <w:rPr>
                <w:rFonts w:hint="eastAsia" w:ascii="仿宋_GB2312" w:hAnsi="微软雅黑" w:eastAsia="仿宋_GB2312"/>
                <w:bCs/>
              </w:rPr>
              <w:t>.图形处理模式：等值线，支持连续扫描频谱成像</w:t>
            </w:r>
            <w:r>
              <w:rPr>
                <w:rFonts w:ascii="仿宋_GB2312" w:hAnsi="微软雅黑" w:eastAsia="仿宋_GB2312"/>
                <w:bCs/>
              </w:rPr>
              <w:t xml:space="preserve"> </w:t>
            </w:r>
          </w:p>
        </w:tc>
        <w:tc>
          <w:tcPr>
            <w:tcW w:w="131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微软雅黑" w:eastAsia="仿宋_GB2312"/>
                <w:bCs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kern w:val="44"/>
                <w:sz w:val="28"/>
                <w:szCs w:val="28"/>
              </w:rPr>
              <w:drawing>
                <wp:inline distT="0" distB="0" distL="114300" distR="114300">
                  <wp:extent cx="2102485" cy="1180465"/>
                  <wp:effectExtent l="0" t="0" r="0" b="0"/>
                  <wp:docPr id="4" name="图片 5" descr="14.冲击回波声频检测仪-STL-IAES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14.冲击回波声频检测仪-STL-IAES-B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pct"/>
            <w:vMerge w:val="restart"/>
            <w:noWrap w:val="0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ind w:left="0" w:leftChars="0" w:firstLine="0" w:firstLineChars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ind w:left="0" w:leftChars="0" w:firstLine="0" w:firstLineChars="0"/>
              <w:jc w:val="left"/>
              <w:rPr>
                <w:rFonts w:hint="default" w:ascii="Times New Roman" w:hAnsi="Times New Roman" w:eastAsia="宋体" w:cs="Times New Roman"/>
                <w:lang w:val="en-US" w:eastAsia="zh-CN"/>
              </w:rPr>
            </w:pPr>
          </w:p>
          <w:p>
            <w:pPr>
              <w:pStyle w:val="2"/>
              <w:ind w:left="0" w:leftChars="0" w:firstLine="0" w:firstLineChars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>国产设备（可自带）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5" w:hRule="atLeast"/>
          <w:jc w:val="center"/>
        </w:trPr>
        <w:tc>
          <w:tcPr>
            <w:tcW w:w="60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</w:rPr>
              <w:t>探地雷达</w:t>
            </w:r>
          </w:p>
        </w:tc>
        <w:tc>
          <w:tcPr>
            <w:tcW w:w="255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</w:rPr>
              <w:t>1.功能：进行雷达扫描检测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</w:rPr>
              <w:t>2.雷达主机：一体集成式无线雷达主机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  <w:lang w:val="en-US" w:eastAsia="zh-CN"/>
              </w:rPr>
              <w:t>3</w:t>
            </w:r>
            <w:r>
              <w:rPr>
                <w:rFonts w:hint="eastAsia" w:ascii="仿宋_GB2312" w:hAnsi="微软雅黑" w:eastAsia="仿宋_GB2312"/>
                <w:bCs/>
              </w:rPr>
              <w:t>.实时处理功能：增益、道间平均、去背景处理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  <w:lang w:val="en-US" w:eastAsia="zh-CN"/>
              </w:rPr>
              <w:t>4</w:t>
            </w:r>
            <w:r>
              <w:rPr>
                <w:rFonts w:hint="eastAsia" w:ascii="仿宋_GB2312" w:hAnsi="微软雅黑" w:eastAsia="仿宋_GB2312"/>
                <w:bCs/>
              </w:rPr>
              <w:t>.显示方式：灰度图、彩色伪彩图或堆积波形图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  <w:lang w:val="en-US" w:eastAsia="zh-CN"/>
              </w:rPr>
              <w:t>5</w:t>
            </w:r>
            <w:r>
              <w:rPr>
                <w:rFonts w:hint="eastAsia" w:ascii="仿宋_GB2312" w:hAnsi="微软雅黑" w:eastAsia="仿宋_GB2312"/>
                <w:bCs/>
              </w:rPr>
              <w:t>.数据传输：无线传输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  <w:lang w:val="en-US" w:eastAsia="zh-CN"/>
              </w:rPr>
              <w:t>6</w:t>
            </w:r>
            <w:r>
              <w:rPr>
                <w:rFonts w:hint="eastAsia" w:ascii="仿宋_GB2312" w:hAnsi="微软雅黑" w:eastAsia="仿宋_GB2312"/>
                <w:bCs/>
              </w:rPr>
              <w:t>.雷达天线中心频率：900MHz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  <w:lang w:val="en-US" w:eastAsia="zh-CN"/>
              </w:rPr>
              <w:t>7</w:t>
            </w:r>
            <w:r>
              <w:rPr>
                <w:rFonts w:ascii="仿宋_GB2312" w:hAnsi="微软雅黑" w:eastAsia="仿宋_GB2312"/>
                <w:bCs/>
              </w:rPr>
              <w:t>.</w:t>
            </w:r>
            <w:r>
              <w:rPr>
                <w:rFonts w:hint="eastAsia" w:ascii="仿宋_GB2312" w:hAnsi="微软雅黑" w:eastAsia="仿宋_GB2312"/>
                <w:bCs/>
              </w:rPr>
              <w:t>最大有效探测深度：1m</w:t>
            </w:r>
          </w:p>
        </w:tc>
        <w:tc>
          <w:tcPr>
            <w:tcW w:w="131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微软雅黑" w:eastAsia="仿宋_GB2312"/>
                <w:bCs/>
                <w:lang w:val="en-US" w:eastAsia="zh-CN"/>
              </w:rPr>
            </w:pPr>
            <w:r>
              <w:rPr>
                <w:rFonts w:hint="eastAsia" w:ascii="宋体" w:hAnsi="宋体" w:cs="宋体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140970</wp:posOffset>
                  </wp:positionV>
                  <wp:extent cx="1487805" cy="882015"/>
                  <wp:effectExtent l="0" t="0" r="17145" b="13335"/>
                  <wp:wrapTopAndBottom/>
                  <wp:docPr id="3" name="图片 3" descr="GC900HF原图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GC900HF原图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7762" t="20163" r="16786" b="12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仿宋_GB2312" w:hAnsi="微软雅黑" w:eastAsia="仿宋_GB2312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  <w:jc w:val="center"/>
        </w:trPr>
        <w:tc>
          <w:tcPr>
            <w:tcW w:w="60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</w:rPr>
              <w:t>敲击式隧道衬砌缺陷检测仪</w:t>
            </w:r>
          </w:p>
        </w:tc>
        <w:tc>
          <w:tcPr>
            <w:tcW w:w="255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  <w:lang w:val="en-US" w:eastAsia="zh-CN"/>
              </w:rPr>
              <w:t>1、</w:t>
            </w:r>
            <w:r>
              <w:rPr>
                <w:rFonts w:hint="eastAsia" w:ascii="仿宋_GB2312" w:hAnsi="微软雅黑" w:eastAsia="仿宋_GB2312"/>
                <w:bCs/>
              </w:rPr>
              <w:t>功能：采用打声方式获取信号，通过仪器对信号特性分析辨别出缺陷。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</w:rPr>
              <w:t>2.信号影响范围：浅层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微软雅黑" w:eastAsia="仿宋_GB2312"/>
                <w:bCs/>
              </w:rPr>
            </w:pPr>
            <w:r>
              <w:rPr>
                <w:rFonts w:hint="eastAsia" w:ascii="仿宋_GB2312" w:hAnsi="微软雅黑" w:eastAsia="仿宋_GB2312"/>
                <w:bCs/>
              </w:rPr>
              <w:t>3.仪器系统：Android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ascii="仿宋_GB2312" w:hAnsi="微软雅黑" w:eastAsia="仿宋_GB2312"/>
                <w:bCs/>
              </w:rPr>
              <w:t>4</w:t>
            </w:r>
            <w:r>
              <w:rPr>
                <w:rFonts w:hint="eastAsia" w:ascii="仿宋_GB2312" w:hAnsi="微软雅黑" w:eastAsia="仿宋_GB2312"/>
                <w:bCs/>
              </w:rPr>
              <w:t>.环境降噪：可进行多级降噪，适应不同工作环境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ascii="仿宋_GB2312" w:hAnsi="微软雅黑" w:eastAsia="仿宋_GB2312"/>
                <w:bCs/>
              </w:rPr>
              <w:t>5</w:t>
            </w:r>
            <w:r>
              <w:rPr>
                <w:rFonts w:hint="eastAsia" w:ascii="仿宋_GB2312" w:hAnsi="微软雅黑" w:eastAsia="仿宋_GB2312"/>
                <w:bCs/>
              </w:rPr>
              <w:t>.图形模式：平面等值线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微软雅黑" w:eastAsia="仿宋_GB2312"/>
                <w:bCs/>
              </w:rPr>
            </w:pPr>
            <w:r>
              <w:rPr>
                <w:rFonts w:ascii="仿宋_GB2312" w:hAnsi="微软雅黑" w:eastAsia="仿宋_GB2312"/>
                <w:bCs/>
              </w:rPr>
              <w:t>6</w:t>
            </w:r>
            <w:r>
              <w:rPr>
                <w:rFonts w:hint="eastAsia" w:ascii="仿宋_GB2312" w:hAnsi="微软雅黑" w:eastAsia="仿宋_GB2312"/>
                <w:bCs/>
              </w:rPr>
              <w:t>.支持外触发检测装置</w:t>
            </w:r>
          </w:p>
        </w:tc>
        <w:tc>
          <w:tcPr>
            <w:tcW w:w="131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仿宋_GB2312" w:hAnsi="微软雅黑" w:eastAsia="仿宋_GB2312"/>
                <w:bCs/>
              </w:rPr>
            </w:pPr>
            <w:r>
              <w:rPr>
                <w:rFonts w:hint="eastAsia" w:ascii="仿宋" w:hAnsi="仿宋" w:eastAsia="仿宋" w:cs="仿宋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115570</wp:posOffset>
                  </wp:positionV>
                  <wp:extent cx="1568450" cy="882650"/>
                  <wp:effectExtent l="0" t="0" r="50800" b="31750"/>
                  <wp:wrapTight wrapText="bothSides">
                    <wp:wrapPolygon>
                      <wp:start x="0" y="0"/>
                      <wp:lineTo x="0" y="20978"/>
                      <wp:lineTo x="21250" y="20978"/>
                      <wp:lineTo x="21250" y="0"/>
                      <wp:lineTo x="0" y="0"/>
                    </wp:wrapPolygon>
                  </wp:wrapTight>
                  <wp:docPr id="6" name="图片 2" descr="敲击式隧道衬砌缺陷检测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敲击式隧道衬砌缺陷检测仪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仿宋_GB2312" w:hAnsi="微软雅黑" w:eastAsia="仿宋_GB2312"/>
                <w:b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54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sectPr>
          <w:footerReference r:id="rId13" w:type="default"/>
          <w:footerReference r:id="rId14" w:type="even"/>
          <w:pgSz w:w="16838" w:h="11906" w:orient="landscape"/>
          <w:pgMar w:top="1985" w:right="1588" w:bottom="1985" w:left="1588" w:header="851" w:footer="992" w:gutter="0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54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附表5-2 钢筋骨架加工料具</w:t>
      </w:r>
    </w:p>
    <w:tbl>
      <w:tblPr>
        <w:tblStyle w:val="38"/>
        <w:tblW w:w="490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8368"/>
        <w:gridCol w:w="2597"/>
        <w:gridCol w:w="10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60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仿宋_GB2312" w:hAnsi="微软雅黑" w:eastAsia="仿宋_GB2312"/>
                <w:b/>
                <w:highlight w:val="none"/>
              </w:rPr>
            </w:pPr>
            <w:r>
              <w:rPr>
                <w:rFonts w:hint="eastAsia" w:ascii="仿宋_GB2312" w:hAnsi="微软雅黑" w:eastAsia="仿宋_GB2312"/>
                <w:b/>
                <w:highlight w:val="none"/>
              </w:rPr>
              <w:t>名称</w:t>
            </w:r>
          </w:p>
        </w:tc>
        <w:tc>
          <w:tcPr>
            <w:tcW w:w="307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仿宋_GB2312" w:hAnsi="微软雅黑" w:eastAsia="仿宋_GB2312"/>
                <w:b/>
                <w:highlight w:val="none"/>
              </w:rPr>
            </w:pPr>
            <w:r>
              <w:rPr>
                <w:rFonts w:hint="eastAsia" w:ascii="仿宋_GB2312" w:hAnsi="微软雅黑" w:eastAsia="仿宋_GB2312"/>
                <w:b/>
                <w:highlight w:val="none"/>
              </w:rPr>
              <w:t>基本参数</w:t>
            </w:r>
          </w:p>
        </w:tc>
        <w:tc>
          <w:tcPr>
            <w:tcW w:w="95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default" w:ascii="仿宋_GB2312" w:hAnsi="微软雅黑" w:eastAsia="仿宋_GB2312"/>
                <w:b/>
                <w:highlight w:val="none"/>
                <w:lang w:val="en-US" w:eastAsia="zh-CN"/>
              </w:rPr>
            </w:pPr>
            <w:r>
              <w:rPr>
                <w:rFonts w:hint="eastAsia" w:ascii="仿宋_GB2312" w:hAnsi="微软雅黑" w:eastAsia="仿宋_GB2312"/>
                <w:b/>
                <w:highlight w:val="none"/>
                <w:lang w:val="en-US" w:eastAsia="zh-CN"/>
              </w:rPr>
              <w:t>设备图片</w:t>
            </w:r>
          </w:p>
        </w:tc>
        <w:tc>
          <w:tcPr>
            <w:tcW w:w="369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仿宋_GB2312" w:hAnsi="微软雅黑" w:eastAsia="仿宋_GB2312"/>
                <w:b/>
                <w:highlight w:val="none"/>
              </w:rPr>
            </w:pPr>
            <w:r>
              <w:rPr>
                <w:rFonts w:hint="eastAsia" w:ascii="仿宋_GB2312" w:hAnsi="微软雅黑" w:eastAsia="仿宋_GB2312"/>
                <w:b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5" w:hRule="atLeast"/>
          <w:jc w:val="center"/>
        </w:trPr>
        <w:tc>
          <w:tcPr>
            <w:tcW w:w="600" w:type="pct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napToGrid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="仿宋_GB2312" w:hAnsi="微软雅黑" w:eastAsia="仿宋_GB2312"/>
                <w:bCs/>
                <w:highlight w:val="none"/>
                <w:shd w:val="clear" w:color="auto" w:fill="FFFF00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预应力混凝土T梁钢筋可拼装实体教学模型</w:t>
            </w:r>
          </w:p>
        </w:tc>
        <w:tc>
          <w:tcPr>
            <w:tcW w:w="3075" w:type="pct"/>
            <w:noWrap w:val="0"/>
            <w:vAlign w:val="center"/>
          </w:tcPr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autoSpaceDE w:val="0"/>
              <w:autoSpaceDN/>
              <w:snapToGrid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Times New Roman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模型设计依据：依据交通部组织编制的《公路桥涵通用图 装配式预应力混凝土简支T梁桥上部构造》、实际工程案例及相关规范；用于公路桥梁预应力T梁钢筋识图及加工教学；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autoSpaceDE w:val="0"/>
              <w:autoSpaceDN/>
              <w:snapToGrid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Times New Roman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模型可按照图纸要求进行钢筋绑扎及拆卸，可重复使用，帮助学生更直观了解T梁钢筋绑扎施工工序流程，掌握钢筋绑扎的操作方法；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autoSpaceDE w:val="0"/>
              <w:autoSpaceDN/>
              <w:snapToGrid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仿宋_GB2312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Times New Roman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钢筋骨架半成品构造：采用真实微缩钢筋模拟，不同构造及用途钢筋采用不同颜色；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autoSpaceDE w:val="0"/>
              <w:autoSpaceDN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仿宋_GB2312" w:hAnsi="微软雅黑" w:eastAsia="仿宋_GB2312"/>
                <w:bCs/>
                <w:highlight w:val="none"/>
              </w:rPr>
            </w:pPr>
            <w:r>
              <w:rPr>
                <w:rFonts w:hint="default" w:ascii="仿宋_GB2312" w:hAnsi="Times New Roman" w:eastAsia="仿宋_GB2312" w:cs="仿宋_GB2312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模型工具箱，包括钢筋骨架半成品、绑扎胎架、辅助工具、配套教学资源等。</w:t>
            </w:r>
          </w:p>
        </w:tc>
        <w:tc>
          <w:tcPr>
            <w:tcW w:w="95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仿宋_GB2312" w:hAnsi="微软雅黑" w:eastAsia="仿宋_GB2312"/>
                <w:bCs/>
                <w:highlight w:val="none"/>
                <w:lang w:eastAsia="zh-CN"/>
              </w:rPr>
            </w:pPr>
            <w:r>
              <w:rPr>
                <w:rFonts w:hint="default" w:ascii="仿宋_GB2312" w:hAnsi="微软雅黑" w:eastAsia="仿宋_GB2312"/>
                <w:bCs/>
                <w:highlight w:val="none"/>
                <w:lang w:eastAsia="zh-CN"/>
              </w:rPr>
              <w:drawing>
                <wp:inline distT="0" distB="0" distL="114300" distR="114300">
                  <wp:extent cx="1390650" cy="1042035"/>
                  <wp:effectExtent l="0" t="0" r="0" b="5715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" w:type="pct"/>
            <w:vMerge w:val="restart"/>
            <w:noWrap w:val="0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国产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600" w:type="pct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napToGrid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="仿宋_GB2312" w:hAnsi="微软雅黑" w:eastAsia="仿宋_GB2312"/>
                <w:bCs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缩微钢筋</w:t>
            </w:r>
          </w:p>
        </w:tc>
        <w:tc>
          <w:tcPr>
            <w:tcW w:w="3075" w:type="pct"/>
            <w:noWrap w:val="0"/>
            <w:vAlign w:val="center"/>
          </w:tcPr>
          <w:p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/>
              <w:snapToGrid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仿宋_GB2312" w:eastAsia="仿宋_GB2312" w:cs="仿宋_GB2312"/>
                <w:b w:val="0"/>
                <w:bCs w:val="0"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Times New Roman" w:eastAsia="仿宋_GB2312" w:cs="仿宋_GB2312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"/>
              </w:rPr>
              <w:t>采用直径2.0mm~5.0mm优质碳钢材料模拟实体钢筋；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/>
              <w:snapToGrid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仿宋_GB2312" w:eastAsia="仿宋_GB2312" w:cs="仿宋_GB2312"/>
                <w:b w:val="0"/>
                <w:bCs w:val="0"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Times New Roman" w:eastAsia="仿宋_GB2312" w:cs="仿宋_GB2312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"/>
              </w:rPr>
              <w:t>部分钢筋材料进行螺纹加工，模拟带肋钢筋；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仿宋_GB2312" w:hAnsi="微软雅黑" w:eastAsia="仿宋_GB2312"/>
                <w:bCs/>
                <w:highlight w:val="none"/>
              </w:rPr>
            </w:pPr>
            <w:r>
              <w:rPr>
                <w:rFonts w:hint="default" w:ascii="仿宋_GB2312" w:hAnsi="Times New Roman" w:eastAsia="仿宋_GB2312" w:cs="仿宋_GB2312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"/>
              </w:rPr>
              <w:t>钢筋表面可采用静电喷涂技术进行上色，便于根据颜色区分各类钢筋构造。</w:t>
            </w:r>
          </w:p>
        </w:tc>
        <w:tc>
          <w:tcPr>
            <w:tcW w:w="95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微软雅黑" w:eastAsia="仿宋_GB2312"/>
                <w:bCs/>
                <w:highlight w:val="none"/>
                <w:lang w:val="en-US" w:eastAsia="zh-CN"/>
              </w:rPr>
            </w:pPr>
          </w:p>
        </w:tc>
        <w:tc>
          <w:tcPr>
            <w:tcW w:w="369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仿宋_GB2312" w:hAnsi="微软雅黑" w:eastAsia="仿宋_GB2312"/>
                <w:b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7" w:hRule="atLeast"/>
          <w:jc w:val="center"/>
        </w:trPr>
        <w:tc>
          <w:tcPr>
            <w:tcW w:w="600" w:type="pct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napToGrid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="仿宋_GB2312" w:hAnsi="微软雅黑" w:eastAsia="仿宋_GB2312"/>
                <w:bCs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钢筋弯曲平台（微缩版）</w:t>
            </w:r>
          </w:p>
        </w:tc>
        <w:tc>
          <w:tcPr>
            <w:tcW w:w="3075" w:type="pct"/>
            <w:noWrap w:val="0"/>
            <w:vAlign w:val="center"/>
          </w:tcPr>
          <w:p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suppressLineNumbers w:val="0"/>
              <w:autoSpaceDE w:val="0"/>
              <w:autoSpaceDN/>
              <w:snapToGrid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仿宋_GB2312" w:eastAsia="仿宋_GB2312" w:cs="仿宋_GB2312"/>
                <w:b w:val="0"/>
                <w:bCs w:val="0"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Times New Roman" w:eastAsia="仿宋_GB2312" w:cs="仿宋_GB2312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"/>
              </w:rPr>
              <w:t>用于缩微钢筋弯曲成型；</w:t>
            </w:r>
          </w:p>
          <w:p>
            <w:pPr>
              <w:pStyle w:val="35"/>
              <w:keepNext w:val="0"/>
              <w:keepLines w:val="0"/>
              <w:widowControl/>
              <w:suppressLineNumbers w:val="0"/>
              <w:spacing w:beforeAutospacing="1" w:afterAutospacing="1"/>
              <w:rPr>
                <w:rFonts w:hint="default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Times New Roman" w:eastAsia="仿宋_GB2312" w:cs="仿宋_GB2312"/>
                <w:b w:val="0"/>
                <w:bCs w:val="0"/>
                <w:kern w:val="2"/>
                <w:sz w:val="21"/>
                <w:szCs w:val="21"/>
                <w:highlight w:val="none"/>
              </w:rPr>
              <w:t>2、可固定在操作台上。</w:t>
            </w:r>
          </w:p>
        </w:tc>
        <w:tc>
          <w:tcPr>
            <w:tcW w:w="95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仿宋_GB2312" w:hAnsi="微软雅黑" w:eastAsia="仿宋_GB2312"/>
                <w:bCs/>
                <w:highlight w:val="none"/>
              </w:rPr>
            </w:pPr>
            <w:r>
              <w:rPr>
                <w:rFonts w:hint="default" w:ascii="仿宋_GB2312" w:hAnsi="微软雅黑" w:eastAsia="仿宋_GB2312"/>
                <w:bCs/>
                <w:highlight w:val="none"/>
              </w:rPr>
              <w:drawing>
                <wp:inline distT="0" distB="0" distL="114300" distR="114300">
                  <wp:extent cx="1287145" cy="868045"/>
                  <wp:effectExtent l="0" t="0" r="8255" b="8255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仿宋_GB2312" w:hAnsi="微软雅黑" w:eastAsia="仿宋_GB2312"/>
                <w:b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  <w:jc w:val="center"/>
        </w:trPr>
        <w:tc>
          <w:tcPr>
            <w:tcW w:w="600" w:type="pct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napToGrid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hAnsi="微软雅黑" w:eastAsia="仿宋_GB2312" w:cs="仿宋_GB2312"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钢筋绑扎钩</w:t>
            </w:r>
          </w:p>
        </w:tc>
        <w:tc>
          <w:tcPr>
            <w:tcW w:w="3075" w:type="pct"/>
            <w:noWrap w:val="0"/>
            <w:vAlign w:val="center"/>
          </w:tcPr>
          <w:p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suppressLineNumbers w:val="0"/>
              <w:autoSpaceDE w:val="0"/>
              <w:autoSpaceDN/>
              <w:snapToGrid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微软雅黑" w:eastAsia="仿宋_GB2312" w:cs="仿宋_GB2312"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本工具为手动</w:t>
            </w:r>
            <w:r>
              <w:rPr>
                <w:rFonts w:hint="eastAsia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钢筋</w:t>
            </w:r>
            <w:r>
              <w:rPr>
                <w:rFonts w:hint="eastAsia" w:ascii="仿宋_GB2312" w:hAnsi="微软雅黑" w:eastAsia="仿宋_GB2312" w:cs="仿宋_GB2312"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绑扎工具。</w:t>
            </w:r>
          </w:p>
        </w:tc>
        <w:tc>
          <w:tcPr>
            <w:tcW w:w="95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仿宋_GB2312" w:hAnsi="微软雅黑" w:eastAsia="仿宋_GB2312"/>
                <w:bCs/>
                <w:highlight w:val="none"/>
              </w:rPr>
            </w:pPr>
            <w:r>
              <w:rPr>
                <w:rFonts w:hint="eastAsia" w:ascii="仿宋_GB2312" w:hAnsi="微软雅黑" w:eastAsia="仿宋_GB2312"/>
                <w:bCs/>
                <w:highlight w:val="yellow"/>
                <w:lang w:val="en-US" w:eastAsia="zh-CN"/>
              </w:rPr>
              <w:drawing>
                <wp:inline distT="0" distB="0" distL="114300" distR="114300">
                  <wp:extent cx="1381125" cy="925195"/>
                  <wp:effectExtent l="0" t="0" r="9525" b="8255"/>
                  <wp:docPr id="10" name="图片 8" descr="钢筋绑扎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 descr="钢筋绑扎钩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141" t="11975" r="5424" b="9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仿宋_GB2312" w:hAnsi="微软雅黑" w:eastAsia="仿宋_GB2312"/>
                <w:b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>国产（可自带）</w:t>
            </w:r>
          </w:p>
        </w:tc>
      </w:tr>
    </w:tbl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54"/>
        <w:jc w:val="center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sectPr>
          <w:pgSz w:w="16838" w:h="11906" w:orient="landscape"/>
          <w:pgMar w:top="1985" w:right="1588" w:bottom="1985" w:left="1588" w:header="851" w:footer="992" w:gutter="0"/>
          <w:cols w:space="720" w:num="1"/>
          <w:docGrid w:type="lines" w:linePitch="312" w:charSpace="0"/>
        </w:sect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54"/>
        <w:jc w:val="center"/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 xml:space="preserve">附表5-3 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highlight w:val="none"/>
          <w:lang w:val="en-US" w:eastAsia="zh-CN" w:bidi="ar"/>
        </w:rPr>
        <w:t>施工放样竞赛设备</w:t>
      </w:r>
    </w:p>
    <w:tbl>
      <w:tblPr>
        <w:tblStyle w:val="3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5879"/>
        <w:gridCol w:w="3450"/>
        <w:gridCol w:w="18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微软雅黑" w:eastAsia="仿宋_GB2312" w:cs="Times New Roman"/>
                <w:b/>
                <w:bCs w:val="0"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"/>
              </w:rPr>
              <w:t>名称</w:t>
            </w:r>
          </w:p>
        </w:tc>
        <w:tc>
          <w:tcPr>
            <w:tcW w:w="5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微软雅黑" w:eastAsia="仿宋_GB2312" w:cs="Times New Roman"/>
                <w:b/>
                <w:bCs w:val="0"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"/>
              </w:rPr>
              <w:t>基本参数</w:t>
            </w:r>
          </w:p>
        </w:tc>
        <w:tc>
          <w:tcPr>
            <w:tcW w:w="3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微软雅黑" w:eastAsia="仿宋_GB2312" w:cs="Times New Roman"/>
                <w:b/>
                <w:bCs w:val="0"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"/>
              </w:rPr>
              <w:t>设备图片</w:t>
            </w:r>
          </w:p>
        </w:tc>
        <w:tc>
          <w:tcPr>
            <w:tcW w:w="1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微软雅黑" w:eastAsia="仿宋_GB2312" w:cs="Times New Roman"/>
                <w:b/>
                <w:bCs w:val="0"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/>
                <w:bCs w:val="0"/>
                <w:kern w:val="2"/>
                <w:sz w:val="21"/>
                <w:szCs w:val="21"/>
                <w:highlight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全站仪</w:t>
            </w:r>
          </w:p>
        </w:tc>
        <w:tc>
          <w:tcPr>
            <w:tcW w:w="5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1、测角精度：0.5″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2、最小角度显示：0.1″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3、测角方式：绝对编码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4、探测方式：水平/垂直各四重探测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5、测距精度：有棱镜±（1mm+1×10-6D）；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6、免棱镜测程：1000米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7、测距最小显示：0.1mm</w:t>
            </w:r>
          </w:p>
          <w:p>
            <w:pPr>
              <w:pStyle w:val="35"/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8、支持ATR自动照准功能，可自动照准棱镜中心。</w:t>
            </w:r>
          </w:p>
        </w:tc>
        <w:tc>
          <w:tcPr>
            <w:tcW w:w="3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fldChar w:fldCharType="begin"/>
            </w:r>
            <w:r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instrText xml:space="preserve">INCLUDEPICTURE \d "http://www.kdocs.cn/api/v3/office/copy/UGYzWDg1Y211S3hUK1pHeGFFV213Z0J1cldIOW9ZZDRQQVp5dmcvWFlhNWdxNHI0OTgxK2lqcHJIUnZ1ZW81SHNra2VuTTdSL0N1Lzd0VU0yUWUvYjkvaElNdDE2UGwwY3drRmV5UUlYOEorUGVqbFhsRm9TcXhuNTBMK2tlRy9rWGhFZzZOcFRGWXZGRVlZYlN4bWVhR2h3TUg1UEJKV3kwV09nNVJCR0VCd3V0WGlEbmNRZlpFWE5YU3dLV1ZyNm94aVdFQWRkcThISjBhbzlIK2U2NTNTMEduNzF0ZEx4dnNzVGh5dE02bkxLbHlneFhYUEp6QlpzT0tueFA5dEhsdDB3b1NJK2FNPQ==/attach/object/b693f10a01c1063909316b4b0f1c95cf8d9a58f0?" \* MERGEFORMATINET </w:instrText>
            </w:r>
            <w:r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fldChar w:fldCharType="separate"/>
            </w:r>
            <w:r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drawing>
                <wp:inline distT="0" distB="0" distL="114300" distR="114300">
                  <wp:extent cx="885825" cy="1485900"/>
                  <wp:effectExtent l="0" t="0" r="9525" b="0"/>
                  <wp:docPr id="12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fldChar w:fldCharType="end"/>
            </w:r>
          </w:p>
        </w:tc>
        <w:tc>
          <w:tcPr>
            <w:tcW w:w="18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>国产设备（可自带）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手簿</w:t>
            </w:r>
          </w:p>
        </w:tc>
        <w:tc>
          <w:tcPr>
            <w:tcW w:w="5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手簿Android操作系统，用户可在仪器内自由安装各类安卓应用程序；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手簿预装桥隧施工测量软件。</w:t>
            </w:r>
          </w:p>
        </w:tc>
        <w:tc>
          <w:tcPr>
            <w:tcW w:w="3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</w:p>
        </w:tc>
        <w:tc>
          <w:tcPr>
            <w:tcW w:w="18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非编程计算器</w:t>
            </w:r>
          </w:p>
        </w:tc>
        <w:tc>
          <w:tcPr>
            <w:tcW w:w="5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1、功能：计算、复数、基数、矩阵、向量、统计、表格、方程/函数、不等式、比例。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2、硬件方面：图表菜单，液晶显示屏，中文设置，六行显示，中文按键。</w:t>
            </w:r>
          </w:p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仿宋_GB2312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>3、软件方面：求余运算，撤消计算，顺序优先计算，80组数据统计，2个函数列表，4分位计算，数字分隔符，求方差。</w:t>
            </w:r>
          </w:p>
        </w:tc>
        <w:tc>
          <w:tcPr>
            <w:tcW w:w="3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  <w:r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t xml:space="preserve">        </w:t>
            </w:r>
            <w:r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fldChar w:fldCharType="begin"/>
            </w:r>
            <w:r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instrText xml:space="preserve">INCLUDEPICTURE \d "http://www.kdocs.cn/api/v3/office/copy/UGYzWDg1Y211S3hUK1pHeGFFV213Z0J1cldIOW9ZZDRQQVp5dmcvWFlhNWdxNHI0OTgxK2lqcHJIUnZ1ZW81SHNra2VuTTdSL0N1Lzd0VU0yUWUvYjkvaElNdDE2UGwwY3drRmV5UUlYOEorUGVqbFhsRm9TcXhuNTBMK2tlRy9rWGhFZzZOcFRGWXZGRVlZYlN4bWVhR2h3TUg1UEJKV3kwV09nNVJCR0VCd3V0WGlEbmNRZlpFWE5YU3dLV1ZyNm94aVdFQWRkcThISjBhbzlIK2U2NTNTMEduNzF0ZEx4dnNzVGh5dE02bkxLbHlneFhYUEp6QlpzT0tueFA5dEhsdDB3b1NJK2FNPQ==/attach/object/d78d64828862f2a263a07689023bab4234e01219?" \* MERGEFORMATINET </w:instrText>
            </w:r>
            <w:r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fldChar w:fldCharType="separate"/>
            </w:r>
            <w:r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drawing>
                <wp:inline distT="0" distB="0" distL="114300" distR="114300">
                  <wp:extent cx="657225" cy="1323975"/>
                  <wp:effectExtent l="0" t="0" r="9525" b="9525"/>
                  <wp:docPr id="13" name="图片 10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  <w:lang w:val="en-US" w:eastAsia="zh-CN" w:bidi="ar"/>
              </w:rPr>
              <w:fldChar w:fldCharType="end"/>
            </w:r>
          </w:p>
        </w:tc>
        <w:tc>
          <w:tcPr>
            <w:tcW w:w="183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仿宋_GB2312" w:hAnsi="微软雅黑" w:eastAsia="仿宋_GB2312" w:cs="Times New Roman"/>
                <w:bCs/>
                <w:kern w:val="2"/>
                <w:sz w:val="21"/>
                <w:szCs w:val="21"/>
                <w:highlight w:val="none"/>
              </w:rPr>
            </w:pPr>
          </w:p>
        </w:tc>
      </w:tr>
    </w:tbl>
    <w:p>
      <w:pPr>
        <w:jc w:val="center"/>
        <w:rPr>
          <w:rFonts w:eastAsia="微软雅黑"/>
          <w:b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bCs/>
        </w:rPr>
        <w:sectPr>
          <w:pgSz w:w="16838" w:h="11906" w:orient="landscape"/>
          <w:pgMar w:top="1985" w:right="1588" w:bottom="1985" w:left="1588" w:header="851" w:footer="992" w:gutter="0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附件6</w:t>
      </w:r>
      <w:r>
        <w:rPr>
          <w:rFonts w:hint="eastAsia" w:ascii="黑体" w:hAnsi="黑体" w:eastAsia="黑体" w:cs="Times New Roman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before="313" w:beforeLines="100" w:after="313" w:afterLines="100" w:line="560" w:lineRule="exact"/>
        <w:jc w:val="center"/>
        <w:textAlignment w:val="auto"/>
        <w:outlineLvl w:val="0"/>
        <w:rPr>
          <w:rFonts w:hint="eastAsia" w:ascii="Times New Roman" w:hAnsi="Times New Roman" w:eastAsia="方正小标宋_GBK" w:cs="Times New Roman"/>
          <w:sz w:val="44"/>
          <w:szCs w:val="44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</w:rPr>
        <w:t>自带设备责任承诺书</w:t>
      </w:r>
    </w:p>
    <w:p>
      <w:pPr>
        <w:widowControl/>
        <w:adjustRightInd w:val="0"/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1、本参赛队自愿选择自带设备参赛，且做如下承诺：</w:t>
      </w:r>
    </w:p>
    <w:p>
      <w:pPr>
        <w:pStyle w:val="2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1）自带设备符合竞赛要求，无上网卡，设备数据已清、社交软件已删。</w:t>
      </w:r>
    </w:p>
    <w:p>
      <w:pPr>
        <w:pStyle w:val="2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2）自带设备愿意接受赛场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裁判</w:t>
      </w:r>
      <w:r>
        <w:rPr>
          <w:rFonts w:hint="eastAsia" w:ascii="仿宋_GB2312" w:eastAsia="仿宋_GB2312"/>
          <w:sz w:val="28"/>
          <w:szCs w:val="28"/>
        </w:rPr>
        <w:t>员检查，并认同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裁判员</w:t>
      </w:r>
      <w:r>
        <w:rPr>
          <w:rFonts w:hint="eastAsia" w:ascii="仿宋_GB2312" w:eastAsia="仿宋_GB2312"/>
          <w:sz w:val="28"/>
          <w:szCs w:val="28"/>
        </w:rPr>
        <w:t>检查结论。</w:t>
      </w:r>
    </w:p>
    <w:p>
      <w:pPr>
        <w:pStyle w:val="2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3）自带设备，自行保障设备的可靠性，出问题自行处理，自行负责。</w:t>
      </w:r>
    </w:p>
    <w:p>
      <w:pPr>
        <w:pStyle w:val="2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4）自带设备竞赛，离开赛场时，设备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数据裁判拷贝后清零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pStyle w:val="2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）执行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组委会</w:t>
      </w:r>
      <w:r>
        <w:rPr>
          <w:rFonts w:hint="eastAsia" w:ascii="仿宋_GB2312" w:eastAsia="仿宋_GB2312"/>
          <w:sz w:val="28"/>
          <w:szCs w:val="28"/>
        </w:rPr>
        <w:t>关于自带设备的其他补充规定或要求。</w:t>
      </w:r>
    </w:p>
    <w:p>
      <w:pPr>
        <w:widowControl/>
        <w:adjustRightInd w:val="0"/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2、本参赛队严格遵循上述承诺。</w:t>
      </w:r>
    </w:p>
    <w:p>
      <w:pPr>
        <w:pStyle w:val="2"/>
      </w:pPr>
    </w:p>
    <w:p>
      <w:pPr>
        <w:pStyle w:val="2"/>
        <w:wordWrap w:val="0"/>
        <w:spacing w:before="360"/>
        <w:jc w:val="right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领队/指导教师</w:t>
      </w:r>
      <w:r>
        <w:rPr>
          <w:rFonts w:hint="eastAsia" w:ascii="仿宋_GB2312" w:eastAsia="仿宋_GB2312"/>
          <w:sz w:val="28"/>
          <w:szCs w:val="28"/>
        </w:rPr>
        <w:t>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</w:t>
      </w:r>
    </w:p>
    <w:p>
      <w:pPr>
        <w:widowControl/>
        <w:adjustRightInd w:val="0"/>
        <w:spacing w:line="560" w:lineRule="exact"/>
        <w:jc w:val="right"/>
        <w:rPr>
          <w:rFonts w:ascii="仿宋_GB2312" w:eastAsia="仿宋_GB2312"/>
          <w:sz w:val="28"/>
          <w:szCs w:val="28"/>
        </w:rPr>
      </w:pPr>
    </w:p>
    <w:p>
      <w:pPr>
        <w:pStyle w:val="3"/>
        <w:wordWrap w:val="0"/>
        <w:spacing w:before="360" w:beforeAutospacing="0"/>
        <w:ind w:firstLine="1680"/>
        <w:jc w:val="right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28"/>
          <w:szCs w:val="28"/>
        </w:rPr>
        <w:t>参赛选手：</w:t>
      </w:r>
      <w:r>
        <w:rPr>
          <w:rFonts w:hint="eastAsia" w:ascii="仿宋_GB2312" w:hAnsi="Times New Roman" w:eastAsia="仿宋_GB2312"/>
          <w:sz w:val="28"/>
          <w:szCs w:val="28"/>
          <w:u w:val="single"/>
        </w:rPr>
        <w:t xml:space="preserve">                          </w:t>
      </w:r>
    </w:p>
    <w:p>
      <w:pPr>
        <w:tabs>
          <w:tab w:val="left" w:pos="7230"/>
          <w:tab w:val="left" w:pos="7513"/>
        </w:tabs>
        <w:overflowPunct w:val="0"/>
        <w:adjustRightInd w:val="0"/>
        <w:snapToGrid w:val="0"/>
        <w:spacing w:line="560" w:lineRule="exact"/>
        <w:rPr>
          <w:rFonts w:ascii="微软雅黑" w:hAnsi="微软雅黑" w:eastAsia="微软雅黑"/>
          <w:b/>
          <w:sz w:val="28"/>
          <w:szCs w:val="28"/>
        </w:rPr>
      </w:pPr>
    </w:p>
    <w:p>
      <w:pPr>
        <w:spacing w:line="560" w:lineRule="exact"/>
        <w:jc w:val="center"/>
        <w:rPr>
          <w:rFonts w:hint="eastAsia" w:eastAsia="仿宋_GB2312"/>
          <w:b/>
          <w:sz w:val="32"/>
          <w:szCs w:val="32"/>
        </w:rPr>
      </w:pP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15" w:type="default"/>
      <w:footerReference r:id="rId17" w:type="default"/>
      <w:headerReference r:id="rId16" w:type="even"/>
      <w:footerReference r:id="rId18" w:type="even"/>
      <w:pgSz w:w="11906" w:h="16838"/>
      <w:pgMar w:top="1985" w:right="1588" w:bottom="1985" w:left="1588" w:header="851" w:footer="1400" w:gutter="0"/>
      <w:cols w:space="708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方正书宋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tabs>
        <w:tab w:val="left" w:pos="8647"/>
      </w:tabs>
      <w:ind w:right="28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29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t>—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tabs>
        <w:tab w:val="left" w:pos="8647"/>
      </w:tabs>
      <w:ind w:right="28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43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t>—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tabs>
        <w:tab w:val="left" w:pos="8647"/>
      </w:tabs>
      <w:ind w:right="280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42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t>—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tabs>
        <w:tab w:val="left" w:pos="8647"/>
      </w:tabs>
      <w:ind w:right="28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43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t>—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20" w:firstLineChars="100"/>
      <w:rPr>
        <w:rFonts w:ascii="宋体" w:hAnsi="宋体"/>
        <w:sz w:val="28"/>
        <w:szCs w:val="28"/>
      </w:rPr>
    </w:pPr>
    <w:r>
      <w:rPr>
        <w:rFonts w:hint="eastAsia" w:ascii="仿宋" w:hAnsi="仿宋" w:eastAsia="仿宋_GB2312"/>
        <w:sz w:val="32"/>
        <w:szCs w:val="32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44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仿宋" w:hAnsi="仿宋" w:eastAsia="仿宋_GB2312"/>
        <w:sz w:val="32"/>
        <w:szCs w:val="32"/>
      </w:rPr>
      <w:t xml:space="preserve"> —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tabs>
        <w:tab w:val="left" w:pos="8647"/>
      </w:tabs>
      <w:ind w:right="280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30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t>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tabs>
        <w:tab w:val="left" w:pos="8647"/>
      </w:tabs>
      <w:ind w:right="28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29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t>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tabs>
        <w:tab w:val="left" w:pos="8647"/>
      </w:tabs>
      <w:ind w:right="280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30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t>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tabs>
        <w:tab w:val="left" w:pos="8647"/>
      </w:tabs>
      <w:ind w:right="280"/>
      <w:jc w:val="right"/>
      <w:rPr>
        <w:rFonts w:ascii="宋体" w:hAnsi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" name="000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3"/>
                            <w:tabs>
                              <w:tab w:val="left" w:pos="8647"/>
                            </w:tabs>
                            <w:ind w:right="280"/>
                            <w:jc w:val="right"/>
                          </w:pP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  <w:lang w:val="zh-CN"/>
                            </w:rPr>
                            <w:t>43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wrap="none"/>
                  </wps:wsp>
                </a:graphicData>
              </a:graphic>
            </wp:anchor>
          </w:drawing>
        </mc:Choice>
        <mc:Fallback>
          <w:pict>
            <v:shape id="00013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VD2OXtQAAAAFAQAADwAAAAAAAAABACAAAAAiAAAA&#10;ZHJzL2Rvd25yZXYueG1sUEsBAhQAFAAAAAgAh07iQF81IKCZAQAASwMAAA4AAAAAAAAAAQAgAAAA&#10;IwEAAGRycy9lMm9Eb2MueG1sUEsFBgAAAAAGAAYAWQEAAC4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pStyle w:val="23"/>
                      <w:tabs>
                        <w:tab w:val="left" w:pos="8647"/>
                      </w:tabs>
                      <w:ind w:right="280"/>
                      <w:jc w:val="right"/>
                    </w:pPr>
                    <w:r>
                      <w:rPr>
                        <w:rFonts w:ascii="宋体" w:hAnsi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  <w:lang w:val="zh-CN"/>
                      </w:rPr>
                      <w:t>43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tabs>
        <w:tab w:val="left" w:pos="8647"/>
      </w:tabs>
      <w:ind w:right="28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29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t>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tabs>
        <w:tab w:val="left" w:pos="8647"/>
      </w:tabs>
      <w:ind w:right="280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30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t>—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tabs>
        <w:tab w:val="left" w:pos="8647"/>
      </w:tabs>
      <w:ind w:right="28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21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t>—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tabs>
        <w:tab w:val="left" w:pos="8647"/>
      </w:tabs>
      <w:ind w:right="280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20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t>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4EBAA5"/>
    <w:multiLevelType w:val="singleLevel"/>
    <w:tmpl w:val="834EBAA5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C8102282"/>
    <w:multiLevelType w:val="singleLevel"/>
    <w:tmpl w:val="C810228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ED77295"/>
    <w:multiLevelType w:val="multilevel"/>
    <w:tmpl w:val="0ED77295"/>
    <w:lvl w:ilvl="0" w:tentative="0">
      <w:start w:val="1"/>
      <w:numFmt w:val="decimal"/>
      <w:pStyle w:val="107"/>
      <w:lvlText w:val="%1"/>
      <w:lvlJc w:val="left"/>
      <w:pPr>
        <w:tabs>
          <w:tab w:val="left" w:pos="360"/>
        </w:tabs>
        <w:ind w:left="0" w:firstLine="0"/>
      </w:pPr>
      <w:rPr>
        <w:rFonts w:hint="eastAsia"/>
      </w:rPr>
    </w:lvl>
    <w:lvl w:ilvl="1" w:tentative="0">
      <w:start w:val="1"/>
      <w:numFmt w:val="decimal"/>
      <w:pStyle w:val="155"/>
      <w:lvlText w:val="%1.%2"/>
      <w:lvlJc w:val="left"/>
      <w:pPr>
        <w:tabs>
          <w:tab w:val="left" w:pos="720"/>
        </w:tabs>
        <w:ind w:left="0" w:firstLine="0"/>
      </w:pPr>
      <w:rPr>
        <w:rFonts w:hint="eastAsia"/>
      </w:rPr>
    </w:lvl>
    <w:lvl w:ilvl="2" w:tentative="0">
      <w:start w:val="1"/>
      <w:numFmt w:val="decimal"/>
      <w:pStyle w:val="131"/>
      <w:lvlText w:val="%1.%2.%3"/>
      <w:lvlJc w:val="left"/>
      <w:pPr>
        <w:tabs>
          <w:tab w:val="left" w:pos="1080"/>
        </w:tabs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>
    <w:nsid w:val="560A574B"/>
    <w:multiLevelType w:val="multilevel"/>
    <w:tmpl w:val="560A574B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5E03477F"/>
    <w:multiLevelType w:val="multilevel"/>
    <w:tmpl w:val="5E03477F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hint="default" w:ascii="Times New Roman" w:hAnsi="Times New Roman" w:cs="Times New Roman"/>
      </w:rPr>
    </w:lvl>
  </w:abstractNum>
  <w:abstractNum w:abstractNumId="5">
    <w:nsid w:val="6A45AE56"/>
    <w:multiLevelType w:val="multilevel"/>
    <w:tmpl w:val="6A45AE56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hint="default" w:ascii="Times New Roman" w:hAnsi="Times New Roman"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FFEF" w:allStyles="1" w:customStyles="1" w:latentStyles="1" w:stylesInUse="1" w:headingStyles="1" w:numberingStyles="1" w:tableStyles="1" w:directFormattingOnRuns="1" w:directFormattingOnParagraphs="1" w:directFormattingOnNumbering="1" w:directFormattingOnTables="1" w:clearFormatting="1" w:top3HeadingStyles="1" w:visibleStyles="1" w:alternateStyleNames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NmNzU3ZmRmODM5OGU1OGZkNWJmZTVjYmIyMzg2NWMifQ=="/>
  </w:docVars>
  <w:rsids>
    <w:rsidRoot w:val="00C26E72"/>
    <w:rsid w:val="000004CA"/>
    <w:rsid w:val="00000FAD"/>
    <w:rsid w:val="000059E5"/>
    <w:rsid w:val="00005C3F"/>
    <w:rsid w:val="00006AA0"/>
    <w:rsid w:val="00010EF4"/>
    <w:rsid w:val="0001218D"/>
    <w:rsid w:val="00012A7C"/>
    <w:rsid w:val="000141AD"/>
    <w:rsid w:val="00014421"/>
    <w:rsid w:val="000151BD"/>
    <w:rsid w:val="0001581D"/>
    <w:rsid w:val="000163C9"/>
    <w:rsid w:val="00016A03"/>
    <w:rsid w:val="00020BB4"/>
    <w:rsid w:val="000210EE"/>
    <w:rsid w:val="00022A0B"/>
    <w:rsid w:val="000238D4"/>
    <w:rsid w:val="00023B16"/>
    <w:rsid w:val="00033BE0"/>
    <w:rsid w:val="00040A3E"/>
    <w:rsid w:val="00042BAF"/>
    <w:rsid w:val="00052703"/>
    <w:rsid w:val="0005547E"/>
    <w:rsid w:val="00057CC7"/>
    <w:rsid w:val="000619EC"/>
    <w:rsid w:val="00062135"/>
    <w:rsid w:val="00062DAD"/>
    <w:rsid w:val="00063025"/>
    <w:rsid w:val="00065406"/>
    <w:rsid w:val="0006564B"/>
    <w:rsid w:val="00070E77"/>
    <w:rsid w:val="00071063"/>
    <w:rsid w:val="000713EC"/>
    <w:rsid w:val="000741C7"/>
    <w:rsid w:val="00074761"/>
    <w:rsid w:val="000753AC"/>
    <w:rsid w:val="00075958"/>
    <w:rsid w:val="00076304"/>
    <w:rsid w:val="00076AB2"/>
    <w:rsid w:val="00082B0C"/>
    <w:rsid w:val="0008387A"/>
    <w:rsid w:val="00084C50"/>
    <w:rsid w:val="000868B9"/>
    <w:rsid w:val="00092739"/>
    <w:rsid w:val="00092B4C"/>
    <w:rsid w:val="00096150"/>
    <w:rsid w:val="000A1988"/>
    <w:rsid w:val="000A2239"/>
    <w:rsid w:val="000A46EF"/>
    <w:rsid w:val="000A5C6F"/>
    <w:rsid w:val="000A6A6D"/>
    <w:rsid w:val="000A6B02"/>
    <w:rsid w:val="000B0262"/>
    <w:rsid w:val="000B06C0"/>
    <w:rsid w:val="000B0CCA"/>
    <w:rsid w:val="000B0E12"/>
    <w:rsid w:val="000B23E0"/>
    <w:rsid w:val="000B4E60"/>
    <w:rsid w:val="000B6E8C"/>
    <w:rsid w:val="000C18A8"/>
    <w:rsid w:val="000C247D"/>
    <w:rsid w:val="000C3DA6"/>
    <w:rsid w:val="000C444F"/>
    <w:rsid w:val="000C4CCA"/>
    <w:rsid w:val="000C5510"/>
    <w:rsid w:val="000C7038"/>
    <w:rsid w:val="000C7AB7"/>
    <w:rsid w:val="000D02DA"/>
    <w:rsid w:val="000D0B4F"/>
    <w:rsid w:val="000D18CE"/>
    <w:rsid w:val="000D6035"/>
    <w:rsid w:val="000D6400"/>
    <w:rsid w:val="000D668E"/>
    <w:rsid w:val="000D6F1C"/>
    <w:rsid w:val="000D7170"/>
    <w:rsid w:val="000E2BF6"/>
    <w:rsid w:val="000E3C9B"/>
    <w:rsid w:val="000E4820"/>
    <w:rsid w:val="000E497C"/>
    <w:rsid w:val="000E6AB7"/>
    <w:rsid w:val="000E7E8F"/>
    <w:rsid w:val="000F128F"/>
    <w:rsid w:val="000F145D"/>
    <w:rsid w:val="000F1D0C"/>
    <w:rsid w:val="000F29EE"/>
    <w:rsid w:val="000F399F"/>
    <w:rsid w:val="000F4016"/>
    <w:rsid w:val="000F52C2"/>
    <w:rsid w:val="000F61D1"/>
    <w:rsid w:val="001004B6"/>
    <w:rsid w:val="00100829"/>
    <w:rsid w:val="001009A5"/>
    <w:rsid w:val="00100D93"/>
    <w:rsid w:val="0010119C"/>
    <w:rsid w:val="001026C5"/>
    <w:rsid w:val="001041A8"/>
    <w:rsid w:val="00106764"/>
    <w:rsid w:val="00106E61"/>
    <w:rsid w:val="0011002B"/>
    <w:rsid w:val="001115A4"/>
    <w:rsid w:val="00111B64"/>
    <w:rsid w:val="001123A3"/>
    <w:rsid w:val="00112F33"/>
    <w:rsid w:val="00113274"/>
    <w:rsid w:val="00116C9C"/>
    <w:rsid w:val="00120691"/>
    <w:rsid w:val="00122930"/>
    <w:rsid w:val="0012398B"/>
    <w:rsid w:val="001245AB"/>
    <w:rsid w:val="001268B1"/>
    <w:rsid w:val="001277A9"/>
    <w:rsid w:val="0012796E"/>
    <w:rsid w:val="00130208"/>
    <w:rsid w:val="001302BD"/>
    <w:rsid w:val="00132C3B"/>
    <w:rsid w:val="00137049"/>
    <w:rsid w:val="001443FD"/>
    <w:rsid w:val="00144AF8"/>
    <w:rsid w:val="00144C43"/>
    <w:rsid w:val="00144ED7"/>
    <w:rsid w:val="001461E0"/>
    <w:rsid w:val="001471B4"/>
    <w:rsid w:val="00147A80"/>
    <w:rsid w:val="001500F5"/>
    <w:rsid w:val="001520FB"/>
    <w:rsid w:val="00153B7C"/>
    <w:rsid w:val="00153ED8"/>
    <w:rsid w:val="00156FAC"/>
    <w:rsid w:val="001571A8"/>
    <w:rsid w:val="00160420"/>
    <w:rsid w:val="00162212"/>
    <w:rsid w:val="00162A49"/>
    <w:rsid w:val="00162D8C"/>
    <w:rsid w:val="00164801"/>
    <w:rsid w:val="00164848"/>
    <w:rsid w:val="00164A85"/>
    <w:rsid w:val="00166CC6"/>
    <w:rsid w:val="00167997"/>
    <w:rsid w:val="00167AFD"/>
    <w:rsid w:val="00171C13"/>
    <w:rsid w:val="00171DE4"/>
    <w:rsid w:val="00171E92"/>
    <w:rsid w:val="00172B63"/>
    <w:rsid w:val="00175504"/>
    <w:rsid w:val="00175AA9"/>
    <w:rsid w:val="00175AB0"/>
    <w:rsid w:val="00175F81"/>
    <w:rsid w:val="00177ACF"/>
    <w:rsid w:val="00177C9B"/>
    <w:rsid w:val="00180636"/>
    <w:rsid w:val="00181C6D"/>
    <w:rsid w:val="00183A9F"/>
    <w:rsid w:val="00183D40"/>
    <w:rsid w:val="00184750"/>
    <w:rsid w:val="00190A4F"/>
    <w:rsid w:val="00190F34"/>
    <w:rsid w:val="00192CC2"/>
    <w:rsid w:val="00195633"/>
    <w:rsid w:val="001A0EF6"/>
    <w:rsid w:val="001A1220"/>
    <w:rsid w:val="001A3DA9"/>
    <w:rsid w:val="001A4C75"/>
    <w:rsid w:val="001A5430"/>
    <w:rsid w:val="001A564A"/>
    <w:rsid w:val="001B10CD"/>
    <w:rsid w:val="001B2649"/>
    <w:rsid w:val="001B2AD6"/>
    <w:rsid w:val="001B375B"/>
    <w:rsid w:val="001B4DA1"/>
    <w:rsid w:val="001B7C6D"/>
    <w:rsid w:val="001C1F13"/>
    <w:rsid w:val="001C52DF"/>
    <w:rsid w:val="001C553E"/>
    <w:rsid w:val="001D2454"/>
    <w:rsid w:val="001D39E5"/>
    <w:rsid w:val="001D3A8F"/>
    <w:rsid w:val="001D4096"/>
    <w:rsid w:val="001D4B1F"/>
    <w:rsid w:val="001D6857"/>
    <w:rsid w:val="001E4230"/>
    <w:rsid w:val="001E6673"/>
    <w:rsid w:val="001F135F"/>
    <w:rsid w:val="001F236D"/>
    <w:rsid w:val="001F3998"/>
    <w:rsid w:val="001F6738"/>
    <w:rsid w:val="002033F9"/>
    <w:rsid w:val="00204D11"/>
    <w:rsid w:val="0020522D"/>
    <w:rsid w:val="0020602D"/>
    <w:rsid w:val="00207DC9"/>
    <w:rsid w:val="002111CD"/>
    <w:rsid w:val="00213224"/>
    <w:rsid w:val="0021569E"/>
    <w:rsid w:val="00216466"/>
    <w:rsid w:val="00216E58"/>
    <w:rsid w:val="002211D8"/>
    <w:rsid w:val="00223DD4"/>
    <w:rsid w:val="00224604"/>
    <w:rsid w:val="0022743C"/>
    <w:rsid w:val="00227B28"/>
    <w:rsid w:val="002329AF"/>
    <w:rsid w:val="0023320F"/>
    <w:rsid w:val="002340F6"/>
    <w:rsid w:val="00235EFB"/>
    <w:rsid w:val="00236A78"/>
    <w:rsid w:val="002373B3"/>
    <w:rsid w:val="00241134"/>
    <w:rsid w:val="002421A7"/>
    <w:rsid w:val="00243009"/>
    <w:rsid w:val="00245282"/>
    <w:rsid w:val="0024793E"/>
    <w:rsid w:val="00252786"/>
    <w:rsid w:val="00257178"/>
    <w:rsid w:val="00260257"/>
    <w:rsid w:val="00260339"/>
    <w:rsid w:val="00261EA4"/>
    <w:rsid w:val="00262AA1"/>
    <w:rsid w:val="00272E65"/>
    <w:rsid w:val="002744AC"/>
    <w:rsid w:val="002744E7"/>
    <w:rsid w:val="0027585C"/>
    <w:rsid w:val="00275F46"/>
    <w:rsid w:val="002762DE"/>
    <w:rsid w:val="00276BF9"/>
    <w:rsid w:val="00276FDF"/>
    <w:rsid w:val="00277E62"/>
    <w:rsid w:val="0028342C"/>
    <w:rsid w:val="00287131"/>
    <w:rsid w:val="00292BA7"/>
    <w:rsid w:val="002948BC"/>
    <w:rsid w:val="00295B9A"/>
    <w:rsid w:val="00296804"/>
    <w:rsid w:val="002A219F"/>
    <w:rsid w:val="002A659F"/>
    <w:rsid w:val="002A663C"/>
    <w:rsid w:val="002B67D9"/>
    <w:rsid w:val="002B699D"/>
    <w:rsid w:val="002C0A75"/>
    <w:rsid w:val="002C1F78"/>
    <w:rsid w:val="002C4D69"/>
    <w:rsid w:val="002C5210"/>
    <w:rsid w:val="002C55FD"/>
    <w:rsid w:val="002C589B"/>
    <w:rsid w:val="002D1F53"/>
    <w:rsid w:val="002D2307"/>
    <w:rsid w:val="002D56A1"/>
    <w:rsid w:val="002D7ACC"/>
    <w:rsid w:val="002E2166"/>
    <w:rsid w:val="002E2367"/>
    <w:rsid w:val="002E6575"/>
    <w:rsid w:val="002E79CF"/>
    <w:rsid w:val="002E7BD5"/>
    <w:rsid w:val="002E7E58"/>
    <w:rsid w:val="002F1D27"/>
    <w:rsid w:val="002F431B"/>
    <w:rsid w:val="002F552D"/>
    <w:rsid w:val="003003A0"/>
    <w:rsid w:val="003004FE"/>
    <w:rsid w:val="00300703"/>
    <w:rsid w:val="00302602"/>
    <w:rsid w:val="00302608"/>
    <w:rsid w:val="00304CFB"/>
    <w:rsid w:val="00305602"/>
    <w:rsid w:val="00307DDD"/>
    <w:rsid w:val="00310351"/>
    <w:rsid w:val="0031291B"/>
    <w:rsid w:val="00312D93"/>
    <w:rsid w:val="003143A8"/>
    <w:rsid w:val="0031497F"/>
    <w:rsid w:val="00315385"/>
    <w:rsid w:val="003159C3"/>
    <w:rsid w:val="003178BB"/>
    <w:rsid w:val="00322949"/>
    <w:rsid w:val="00322C40"/>
    <w:rsid w:val="00330068"/>
    <w:rsid w:val="0033153A"/>
    <w:rsid w:val="003320FF"/>
    <w:rsid w:val="00332221"/>
    <w:rsid w:val="003349DD"/>
    <w:rsid w:val="00334D35"/>
    <w:rsid w:val="003357F8"/>
    <w:rsid w:val="00335B4F"/>
    <w:rsid w:val="00337217"/>
    <w:rsid w:val="003418AE"/>
    <w:rsid w:val="00343E6D"/>
    <w:rsid w:val="00345914"/>
    <w:rsid w:val="003467F1"/>
    <w:rsid w:val="003476FC"/>
    <w:rsid w:val="0034770D"/>
    <w:rsid w:val="003526D4"/>
    <w:rsid w:val="003617B3"/>
    <w:rsid w:val="00361D62"/>
    <w:rsid w:val="0036386B"/>
    <w:rsid w:val="00365591"/>
    <w:rsid w:val="00365C48"/>
    <w:rsid w:val="00367DC2"/>
    <w:rsid w:val="00375DC6"/>
    <w:rsid w:val="00377416"/>
    <w:rsid w:val="00380E95"/>
    <w:rsid w:val="00380FC1"/>
    <w:rsid w:val="00382353"/>
    <w:rsid w:val="0038261C"/>
    <w:rsid w:val="00384BD8"/>
    <w:rsid w:val="003863C6"/>
    <w:rsid w:val="00386688"/>
    <w:rsid w:val="00392B28"/>
    <w:rsid w:val="00394175"/>
    <w:rsid w:val="00397041"/>
    <w:rsid w:val="00397795"/>
    <w:rsid w:val="0039785A"/>
    <w:rsid w:val="003A21FC"/>
    <w:rsid w:val="003A2F2A"/>
    <w:rsid w:val="003A7C7A"/>
    <w:rsid w:val="003B207A"/>
    <w:rsid w:val="003B3AFE"/>
    <w:rsid w:val="003B4625"/>
    <w:rsid w:val="003B58AE"/>
    <w:rsid w:val="003B6207"/>
    <w:rsid w:val="003C1C8D"/>
    <w:rsid w:val="003C27FD"/>
    <w:rsid w:val="003C2925"/>
    <w:rsid w:val="003C4993"/>
    <w:rsid w:val="003C50B2"/>
    <w:rsid w:val="003D1554"/>
    <w:rsid w:val="003D18D6"/>
    <w:rsid w:val="003D1CC7"/>
    <w:rsid w:val="003D2D0F"/>
    <w:rsid w:val="003D66B6"/>
    <w:rsid w:val="003D6A04"/>
    <w:rsid w:val="003D6E56"/>
    <w:rsid w:val="003E1973"/>
    <w:rsid w:val="003E6097"/>
    <w:rsid w:val="003E6382"/>
    <w:rsid w:val="003E71C6"/>
    <w:rsid w:val="003F0121"/>
    <w:rsid w:val="003F0435"/>
    <w:rsid w:val="003F082D"/>
    <w:rsid w:val="003F1C56"/>
    <w:rsid w:val="003F2859"/>
    <w:rsid w:val="003F2FF1"/>
    <w:rsid w:val="003F6309"/>
    <w:rsid w:val="004002D8"/>
    <w:rsid w:val="004041B0"/>
    <w:rsid w:val="00405450"/>
    <w:rsid w:val="00405602"/>
    <w:rsid w:val="004064F3"/>
    <w:rsid w:val="00406AA5"/>
    <w:rsid w:val="00410888"/>
    <w:rsid w:val="00412058"/>
    <w:rsid w:val="00412D28"/>
    <w:rsid w:val="0041341E"/>
    <w:rsid w:val="00416CFD"/>
    <w:rsid w:val="004179D0"/>
    <w:rsid w:val="0042010D"/>
    <w:rsid w:val="0042193F"/>
    <w:rsid w:val="00424DCE"/>
    <w:rsid w:val="00425451"/>
    <w:rsid w:val="004254F3"/>
    <w:rsid w:val="004259D3"/>
    <w:rsid w:val="00425C04"/>
    <w:rsid w:val="00425C6F"/>
    <w:rsid w:val="00425FC3"/>
    <w:rsid w:val="00427449"/>
    <w:rsid w:val="00430F36"/>
    <w:rsid w:val="00432680"/>
    <w:rsid w:val="00434261"/>
    <w:rsid w:val="004344F1"/>
    <w:rsid w:val="004354AC"/>
    <w:rsid w:val="004358E7"/>
    <w:rsid w:val="00437B8E"/>
    <w:rsid w:val="00441C48"/>
    <w:rsid w:val="00445D99"/>
    <w:rsid w:val="0044642A"/>
    <w:rsid w:val="0044675C"/>
    <w:rsid w:val="00447095"/>
    <w:rsid w:val="004507B1"/>
    <w:rsid w:val="00450E8C"/>
    <w:rsid w:val="00452904"/>
    <w:rsid w:val="00453A22"/>
    <w:rsid w:val="004568FB"/>
    <w:rsid w:val="004611FD"/>
    <w:rsid w:val="004614F8"/>
    <w:rsid w:val="004626B4"/>
    <w:rsid w:val="00464453"/>
    <w:rsid w:val="00466D60"/>
    <w:rsid w:val="00466F70"/>
    <w:rsid w:val="0047000D"/>
    <w:rsid w:val="00472E95"/>
    <w:rsid w:val="00481A90"/>
    <w:rsid w:val="00485FE2"/>
    <w:rsid w:val="00490A41"/>
    <w:rsid w:val="0049122B"/>
    <w:rsid w:val="00491BDC"/>
    <w:rsid w:val="00493362"/>
    <w:rsid w:val="00493549"/>
    <w:rsid w:val="004941A9"/>
    <w:rsid w:val="0049567E"/>
    <w:rsid w:val="004971BB"/>
    <w:rsid w:val="004A14C7"/>
    <w:rsid w:val="004A2401"/>
    <w:rsid w:val="004A3000"/>
    <w:rsid w:val="004A4FEA"/>
    <w:rsid w:val="004B01F6"/>
    <w:rsid w:val="004B088F"/>
    <w:rsid w:val="004B1423"/>
    <w:rsid w:val="004B2C06"/>
    <w:rsid w:val="004B4F75"/>
    <w:rsid w:val="004B5793"/>
    <w:rsid w:val="004B681B"/>
    <w:rsid w:val="004C1695"/>
    <w:rsid w:val="004C24FB"/>
    <w:rsid w:val="004C3832"/>
    <w:rsid w:val="004C5213"/>
    <w:rsid w:val="004C5D64"/>
    <w:rsid w:val="004C638E"/>
    <w:rsid w:val="004C6882"/>
    <w:rsid w:val="004C6A7C"/>
    <w:rsid w:val="004C6C54"/>
    <w:rsid w:val="004D02B6"/>
    <w:rsid w:val="004D2039"/>
    <w:rsid w:val="004D22A3"/>
    <w:rsid w:val="004D2E4D"/>
    <w:rsid w:val="004D4114"/>
    <w:rsid w:val="004D5206"/>
    <w:rsid w:val="004D5975"/>
    <w:rsid w:val="004D5EE1"/>
    <w:rsid w:val="004D7EFD"/>
    <w:rsid w:val="004E2583"/>
    <w:rsid w:val="004E27B7"/>
    <w:rsid w:val="004E3786"/>
    <w:rsid w:val="004E5008"/>
    <w:rsid w:val="004E6C04"/>
    <w:rsid w:val="004E7A0F"/>
    <w:rsid w:val="004F053C"/>
    <w:rsid w:val="004F0A11"/>
    <w:rsid w:val="004F0E1D"/>
    <w:rsid w:val="004F321B"/>
    <w:rsid w:val="004F4CE3"/>
    <w:rsid w:val="005008CB"/>
    <w:rsid w:val="0050394C"/>
    <w:rsid w:val="00503E45"/>
    <w:rsid w:val="00506953"/>
    <w:rsid w:val="00510B90"/>
    <w:rsid w:val="00510D59"/>
    <w:rsid w:val="005120DB"/>
    <w:rsid w:val="00514721"/>
    <w:rsid w:val="00515DA1"/>
    <w:rsid w:val="00522BEA"/>
    <w:rsid w:val="0052625F"/>
    <w:rsid w:val="005308C8"/>
    <w:rsid w:val="00531538"/>
    <w:rsid w:val="005315D9"/>
    <w:rsid w:val="00532E2D"/>
    <w:rsid w:val="00532E4C"/>
    <w:rsid w:val="00533090"/>
    <w:rsid w:val="00533707"/>
    <w:rsid w:val="0053380C"/>
    <w:rsid w:val="005338FB"/>
    <w:rsid w:val="00534973"/>
    <w:rsid w:val="00534B30"/>
    <w:rsid w:val="005358EF"/>
    <w:rsid w:val="00535FD0"/>
    <w:rsid w:val="00537174"/>
    <w:rsid w:val="005409F4"/>
    <w:rsid w:val="00541324"/>
    <w:rsid w:val="00550CA3"/>
    <w:rsid w:val="00552B4D"/>
    <w:rsid w:val="00556223"/>
    <w:rsid w:val="005564FB"/>
    <w:rsid w:val="00557E0A"/>
    <w:rsid w:val="005613C2"/>
    <w:rsid w:val="005633BB"/>
    <w:rsid w:val="00563A53"/>
    <w:rsid w:val="0056639E"/>
    <w:rsid w:val="005674D0"/>
    <w:rsid w:val="00574759"/>
    <w:rsid w:val="00575DC6"/>
    <w:rsid w:val="005762CD"/>
    <w:rsid w:val="005770FC"/>
    <w:rsid w:val="005776F2"/>
    <w:rsid w:val="00577FC9"/>
    <w:rsid w:val="005812A3"/>
    <w:rsid w:val="00581B62"/>
    <w:rsid w:val="005878D1"/>
    <w:rsid w:val="0059019D"/>
    <w:rsid w:val="005920BB"/>
    <w:rsid w:val="00593EB3"/>
    <w:rsid w:val="00595848"/>
    <w:rsid w:val="00595E52"/>
    <w:rsid w:val="00597CDD"/>
    <w:rsid w:val="005A034B"/>
    <w:rsid w:val="005A6C49"/>
    <w:rsid w:val="005A786B"/>
    <w:rsid w:val="005B24D7"/>
    <w:rsid w:val="005B283C"/>
    <w:rsid w:val="005B3224"/>
    <w:rsid w:val="005B5C28"/>
    <w:rsid w:val="005B5D16"/>
    <w:rsid w:val="005B6145"/>
    <w:rsid w:val="005B6EE2"/>
    <w:rsid w:val="005C03D3"/>
    <w:rsid w:val="005C1EB2"/>
    <w:rsid w:val="005C1EBA"/>
    <w:rsid w:val="005C1F05"/>
    <w:rsid w:val="005C3B4C"/>
    <w:rsid w:val="005C403F"/>
    <w:rsid w:val="005C4561"/>
    <w:rsid w:val="005C4FD8"/>
    <w:rsid w:val="005C7894"/>
    <w:rsid w:val="005D0F7E"/>
    <w:rsid w:val="005D3EA1"/>
    <w:rsid w:val="005D48BE"/>
    <w:rsid w:val="005D4E7B"/>
    <w:rsid w:val="005D654B"/>
    <w:rsid w:val="005D7F73"/>
    <w:rsid w:val="005E7270"/>
    <w:rsid w:val="005F0559"/>
    <w:rsid w:val="005F1005"/>
    <w:rsid w:val="005F5EF7"/>
    <w:rsid w:val="005F6284"/>
    <w:rsid w:val="005F74AC"/>
    <w:rsid w:val="005F7831"/>
    <w:rsid w:val="005F7EE2"/>
    <w:rsid w:val="00600AF9"/>
    <w:rsid w:val="00605174"/>
    <w:rsid w:val="006052DF"/>
    <w:rsid w:val="006054A8"/>
    <w:rsid w:val="0060768C"/>
    <w:rsid w:val="0061261B"/>
    <w:rsid w:val="00615651"/>
    <w:rsid w:val="00620275"/>
    <w:rsid w:val="00620296"/>
    <w:rsid w:val="00621F15"/>
    <w:rsid w:val="00623152"/>
    <w:rsid w:val="0062561F"/>
    <w:rsid w:val="00627304"/>
    <w:rsid w:val="0062742D"/>
    <w:rsid w:val="00627553"/>
    <w:rsid w:val="0063587F"/>
    <w:rsid w:val="006365C6"/>
    <w:rsid w:val="0063697D"/>
    <w:rsid w:val="00636C0C"/>
    <w:rsid w:val="00637C29"/>
    <w:rsid w:val="006403E3"/>
    <w:rsid w:val="006408D2"/>
    <w:rsid w:val="00640E6B"/>
    <w:rsid w:val="006449D0"/>
    <w:rsid w:val="00644A5C"/>
    <w:rsid w:val="0065527F"/>
    <w:rsid w:val="00655715"/>
    <w:rsid w:val="00655D59"/>
    <w:rsid w:val="00655DB5"/>
    <w:rsid w:val="00656DE7"/>
    <w:rsid w:val="00660BD5"/>
    <w:rsid w:val="00660F22"/>
    <w:rsid w:val="00665BFF"/>
    <w:rsid w:val="00666580"/>
    <w:rsid w:val="00667216"/>
    <w:rsid w:val="00670AFD"/>
    <w:rsid w:val="0067159E"/>
    <w:rsid w:val="00672E7B"/>
    <w:rsid w:val="0067627E"/>
    <w:rsid w:val="006850F1"/>
    <w:rsid w:val="00685F2D"/>
    <w:rsid w:val="0068630B"/>
    <w:rsid w:val="006873EF"/>
    <w:rsid w:val="00691598"/>
    <w:rsid w:val="0069206A"/>
    <w:rsid w:val="00695249"/>
    <w:rsid w:val="00697DC4"/>
    <w:rsid w:val="006A016B"/>
    <w:rsid w:val="006A0BA6"/>
    <w:rsid w:val="006A3827"/>
    <w:rsid w:val="006A6A06"/>
    <w:rsid w:val="006A7587"/>
    <w:rsid w:val="006B2E9B"/>
    <w:rsid w:val="006B3792"/>
    <w:rsid w:val="006B60C3"/>
    <w:rsid w:val="006C4C22"/>
    <w:rsid w:val="006C5AF4"/>
    <w:rsid w:val="006C5E1E"/>
    <w:rsid w:val="006C7FC1"/>
    <w:rsid w:val="006D0226"/>
    <w:rsid w:val="006D4891"/>
    <w:rsid w:val="006D4ED6"/>
    <w:rsid w:val="006E0400"/>
    <w:rsid w:val="006E164D"/>
    <w:rsid w:val="006E1B39"/>
    <w:rsid w:val="006E328A"/>
    <w:rsid w:val="006E3DC1"/>
    <w:rsid w:val="006E4DF9"/>
    <w:rsid w:val="006E6858"/>
    <w:rsid w:val="006F0604"/>
    <w:rsid w:val="006F1558"/>
    <w:rsid w:val="006F179D"/>
    <w:rsid w:val="006F26DE"/>
    <w:rsid w:val="006F3A67"/>
    <w:rsid w:val="006F7094"/>
    <w:rsid w:val="006F739D"/>
    <w:rsid w:val="006F7A52"/>
    <w:rsid w:val="00701F66"/>
    <w:rsid w:val="007020B1"/>
    <w:rsid w:val="0070244A"/>
    <w:rsid w:val="007029CA"/>
    <w:rsid w:val="00703996"/>
    <w:rsid w:val="00704842"/>
    <w:rsid w:val="00704992"/>
    <w:rsid w:val="00705798"/>
    <w:rsid w:val="00706531"/>
    <w:rsid w:val="00710469"/>
    <w:rsid w:val="0071087A"/>
    <w:rsid w:val="00712ABB"/>
    <w:rsid w:val="007130BC"/>
    <w:rsid w:val="007141EB"/>
    <w:rsid w:val="00720C20"/>
    <w:rsid w:val="00722374"/>
    <w:rsid w:val="0072564B"/>
    <w:rsid w:val="007263C2"/>
    <w:rsid w:val="0072768A"/>
    <w:rsid w:val="007279A7"/>
    <w:rsid w:val="00730759"/>
    <w:rsid w:val="0073206E"/>
    <w:rsid w:val="0073463C"/>
    <w:rsid w:val="007351BA"/>
    <w:rsid w:val="007356A0"/>
    <w:rsid w:val="00736476"/>
    <w:rsid w:val="00736A2D"/>
    <w:rsid w:val="00740481"/>
    <w:rsid w:val="00744DB0"/>
    <w:rsid w:val="0074677E"/>
    <w:rsid w:val="00750862"/>
    <w:rsid w:val="00751587"/>
    <w:rsid w:val="00751F08"/>
    <w:rsid w:val="007543E5"/>
    <w:rsid w:val="007561C5"/>
    <w:rsid w:val="007574E9"/>
    <w:rsid w:val="007579FA"/>
    <w:rsid w:val="00757DB9"/>
    <w:rsid w:val="00762166"/>
    <w:rsid w:val="00762D67"/>
    <w:rsid w:val="0076308C"/>
    <w:rsid w:val="00764C83"/>
    <w:rsid w:val="0076615B"/>
    <w:rsid w:val="007668EC"/>
    <w:rsid w:val="00770B9C"/>
    <w:rsid w:val="007716E0"/>
    <w:rsid w:val="00772428"/>
    <w:rsid w:val="007724B4"/>
    <w:rsid w:val="00772F94"/>
    <w:rsid w:val="00775611"/>
    <w:rsid w:val="0078031B"/>
    <w:rsid w:val="0078123A"/>
    <w:rsid w:val="007826DD"/>
    <w:rsid w:val="00783ABB"/>
    <w:rsid w:val="00784BC6"/>
    <w:rsid w:val="00785E2D"/>
    <w:rsid w:val="007862F8"/>
    <w:rsid w:val="0079046B"/>
    <w:rsid w:val="00790A5C"/>
    <w:rsid w:val="007920E1"/>
    <w:rsid w:val="007922B9"/>
    <w:rsid w:val="007931A0"/>
    <w:rsid w:val="00793321"/>
    <w:rsid w:val="00793899"/>
    <w:rsid w:val="007943FD"/>
    <w:rsid w:val="007A4CDF"/>
    <w:rsid w:val="007A79B2"/>
    <w:rsid w:val="007B45A2"/>
    <w:rsid w:val="007B5824"/>
    <w:rsid w:val="007B6FE7"/>
    <w:rsid w:val="007C01CD"/>
    <w:rsid w:val="007C1F0D"/>
    <w:rsid w:val="007C276C"/>
    <w:rsid w:val="007C346C"/>
    <w:rsid w:val="007C437A"/>
    <w:rsid w:val="007C73A4"/>
    <w:rsid w:val="007C7BA4"/>
    <w:rsid w:val="007D422F"/>
    <w:rsid w:val="007D4264"/>
    <w:rsid w:val="007D56A8"/>
    <w:rsid w:val="007D7948"/>
    <w:rsid w:val="007E05D4"/>
    <w:rsid w:val="007E74BE"/>
    <w:rsid w:val="007F05C2"/>
    <w:rsid w:val="007F1897"/>
    <w:rsid w:val="007F1FB8"/>
    <w:rsid w:val="007F2EB6"/>
    <w:rsid w:val="007F3A19"/>
    <w:rsid w:val="007F3C58"/>
    <w:rsid w:val="007F4389"/>
    <w:rsid w:val="007F6BC5"/>
    <w:rsid w:val="007F7434"/>
    <w:rsid w:val="008035FE"/>
    <w:rsid w:val="0080401E"/>
    <w:rsid w:val="008056C6"/>
    <w:rsid w:val="00805C20"/>
    <w:rsid w:val="00806079"/>
    <w:rsid w:val="00806672"/>
    <w:rsid w:val="008073F9"/>
    <w:rsid w:val="008115AE"/>
    <w:rsid w:val="00811637"/>
    <w:rsid w:val="008121A3"/>
    <w:rsid w:val="00812BF8"/>
    <w:rsid w:val="00814E6F"/>
    <w:rsid w:val="00815971"/>
    <w:rsid w:val="00816562"/>
    <w:rsid w:val="00816C5F"/>
    <w:rsid w:val="00817B0B"/>
    <w:rsid w:val="00820544"/>
    <w:rsid w:val="00820881"/>
    <w:rsid w:val="00820C1A"/>
    <w:rsid w:val="00823D64"/>
    <w:rsid w:val="00824E67"/>
    <w:rsid w:val="008261CF"/>
    <w:rsid w:val="00831E9C"/>
    <w:rsid w:val="0083404E"/>
    <w:rsid w:val="00834213"/>
    <w:rsid w:val="0083594D"/>
    <w:rsid w:val="00835E13"/>
    <w:rsid w:val="008361B1"/>
    <w:rsid w:val="008406D1"/>
    <w:rsid w:val="00841F38"/>
    <w:rsid w:val="00842F9A"/>
    <w:rsid w:val="00844289"/>
    <w:rsid w:val="00844E62"/>
    <w:rsid w:val="00847C6D"/>
    <w:rsid w:val="0085018B"/>
    <w:rsid w:val="00851899"/>
    <w:rsid w:val="00852205"/>
    <w:rsid w:val="00852EEE"/>
    <w:rsid w:val="008535E5"/>
    <w:rsid w:val="008538EA"/>
    <w:rsid w:val="00854F8C"/>
    <w:rsid w:val="008564CC"/>
    <w:rsid w:val="00857785"/>
    <w:rsid w:val="00860F6E"/>
    <w:rsid w:val="00864902"/>
    <w:rsid w:val="008656B4"/>
    <w:rsid w:val="00866A39"/>
    <w:rsid w:val="008675B1"/>
    <w:rsid w:val="008709C3"/>
    <w:rsid w:val="00871F45"/>
    <w:rsid w:val="00872925"/>
    <w:rsid w:val="00873060"/>
    <w:rsid w:val="00874C91"/>
    <w:rsid w:val="008807C6"/>
    <w:rsid w:val="00885E06"/>
    <w:rsid w:val="0088600A"/>
    <w:rsid w:val="008861DC"/>
    <w:rsid w:val="00886927"/>
    <w:rsid w:val="008905CD"/>
    <w:rsid w:val="008918D5"/>
    <w:rsid w:val="00892C4F"/>
    <w:rsid w:val="008957FA"/>
    <w:rsid w:val="00895C34"/>
    <w:rsid w:val="0089621A"/>
    <w:rsid w:val="0089686F"/>
    <w:rsid w:val="00897FA1"/>
    <w:rsid w:val="008A0066"/>
    <w:rsid w:val="008A0429"/>
    <w:rsid w:val="008A2AF8"/>
    <w:rsid w:val="008A2B64"/>
    <w:rsid w:val="008A2D7B"/>
    <w:rsid w:val="008A43AA"/>
    <w:rsid w:val="008A4661"/>
    <w:rsid w:val="008A4967"/>
    <w:rsid w:val="008B1434"/>
    <w:rsid w:val="008B1FA3"/>
    <w:rsid w:val="008B2C65"/>
    <w:rsid w:val="008B4E0D"/>
    <w:rsid w:val="008B5481"/>
    <w:rsid w:val="008B5D31"/>
    <w:rsid w:val="008B7879"/>
    <w:rsid w:val="008C20F6"/>
    <w:rsid w:val="008C2F10"/>
    <w:rsid w:val="008C310F"/>
    <w:rsid w:val="008C3608"/>
    <w:rsid w:val="008C4354"/>
    <w:rsid w:val="008C4401"/>
    <w:rsid w:val="008C4DEC"/>
    <w:rsid w:val="008D0A58"/>
    <w:rsid w:val="008D1B19"/>
    <w:rsid w:val="008D59D5"/>
    <w:rsid w:val="008D5CD7"/>
    <w:rsid w:val="008D66B3"/>
    <w:rsid w:val="008D7F75"/>
    <w:rsid w:val="008E00C1"/>
    <w:rsid w:val="008E0E11"/>
    <w:rsid w:val="008E16ED"/>
    <w:rsid w:val="008E17E9"/>
    <w:rsid w:val="008E3557"/>
    <w:rsid w:val="008E35E5"/>
    <w:rsid w:val="008E5C15"/>
    <w:rsid w:val="008E73F5"/>
    <w:rsid w:val="008E7DC2"/>
    <w:rsid w:val="008F08ED"/>
    <w:rsid w:val="008F351C"/>
    <w:rsid w:val="008F6EEC"/>
    <w:rsid w:val="008F7153"/>
    <w:rsid w:val="00900B88"/>
    <w:rsid w:val="00900F4E"/>
    <w:rsid w:val="00903044"/>
    <w:rsid w:val="00903F34"/>
    <w:rsid w:val="00904D1B"/>
    <w:rsid w:val="00904DD1"/>
    <w:rsid w:val="00906577"/>
    <w:rsid w:val="00907ABD"/>
    <w:rsid w:val="009119BB"/>
    <w:rsid w:val="00911EEF"/>
    <w:rsid w:val="00916B1C"/>
    <w:rsid w:val="009170CA"/>
    <w:rsid w:val="00920738"/>
    <w:rsid w:val="00922E94"/>
    <w:rsid w:val="009238DB"/>
    <w:rsid w:val="00926083"/>
    <w:rsid w:val="0093183D"/>
    <w:rsid w:val="009329EB"/>
    <w:rsid w:val="00932F30"/>
    <w:rsid w:val="009343CA"/>
    <w:rsid w:val="0093651C"/>
    <w:rsid w:val="00936BB7"/>
    <w:rsid w:val="00940CB7"/>
    <w:rsid w:val="00942399"/>
    <w:rsid w:val="009438D7"/>
    <w:rsid w:val="0094416C"/>
    <w:rsid w:val="009505F6"/>
    <w:rsid w:val="0095065C"/>
    <w:rsid w:val="00951413"/>
    <w:rsid w:val="00953703"/>
    <w:rsid w:val="009568E4"/>
    <w:rsid w:val="009613E5"/>
    <w:rsid w:val="00965677"/>
    <w:rsid w:val="00966631"/>
    <w:rsid w:val="0096778C"/>
    <w:rsid w:val="00967998"/>
    <w:rsid w:val="00972158"/>
    <w:rsid w:val="00972226"/>
    <w:rsid w:val="0097492A"/>
    <w:rsid w:val="009767E0"/>
    <w:rsid w:val="0097779E"/>
    <w:rsid w:val="00980561"/>
    <w:rsid w:val="009820AC"/>
    <w:rsid w:val="009828FD"/>
    <w:rsid w:val="00982E8E"/>
    <w:rsid w:val="00983994"/>
    <w:rsid w:val="0098424F"/>
    <w:rsid w:val="0098496E"/>
    <w:rsid w:val="009850C9"/>
    <w:rsid w:val="009858CE"/>
    <w:rsid w:val="00987BB8"/>
    <w:rsid w:val="00987ECB"/>
    <w:rsid w:val="00992717"/>
    <w:rsid w:val="009960F4"/>
    <w:rsid w:val="0099775E"/>
    <w:rsid w:val="009A0346"/>
    <w:rsid w:val="009A23D5"/>
    <w:rsid w:val="009A2CC4"/>
    <w:rsid w:val="009A3E0E"/>
    <w:rsid w:val="009A4216"/>
    <w:rsid w:val="009A561A"/>
    <w:rsid w:val="009A7E56"/>
    <w:rsid w:val="009B0ED5"/>
    <w:rsid w:val="009B17D9"/>
    <w:rsid w:val="009B5878"/>
    <w:rsid w:val="009B68CB"/>
    <w:rsid w:val="009B73E3"/>
    <w:rsid w:val="009C0DD1"/>
    <w:rsid w:val="009C3D5C"/>
    <w:rsid w:val="009C7C8A"/>
    <w:rsid w:val="009D3CD9"/>
    <w:rsid w:val="009D53E7"/>
    <w:rsid w:val="009D74B4"/>
    <w:rsid w:val="009D7BFE"/>
    <w:rsid w:val="009E1558"/>
    <w:rsid w:val="009E1568"/>
    <w:rsid w:val="009E263D"/>
    <w:rsid w:val="009E44C4"/>
    <w:rsid w:val="009E562F"/>
    <w:rsid w:val="009E742D"/>
    <w:rsid w:val="009F13F5"/>
    <w:rsid w:val="009F1C74"/>
    <w:rsid w:val="009F2518"/>
    <w:rsid w:val="009F3900"/>
    <w:rsid w:val="009F551F"/>
    <w:rsid w:val="009F67CA"/>
    <w:rsid w:val="00A0150C"/>
    <w:rsid w:val="00A07150"/>
    <w:rsid w:val="00A0741C"/>
    <w:rsid w:val="00A079B6"/>
    <w:rsid w:val="00A11A3C"/>
    <w:rsid w:val="00A13AE4"/>
    <w:rsid w:val="00A1499B"/>
    <w:rsid w:val="00A1516D"/>
    <w:rsid w:val="00A15573"/>
    <w:rsid w:val="00A16420"/>
    <w:rsid w:val="00A16834"/>
    <w:rsid w:val="00A16A3B"/>
    <w:rsid w:val="00A231B1"/>
    <w:rsid w:val="00A24B65"/>
    <w:rsid w:val="00A27C11"/>
    <w:rsid w:val="00A311A2"/>
    <w:rsid w:val="00A311BA"/>
    <w:rsid w:val="00A31523"/>
    <w:rsid w:val="00A31F58"/>
    <w:rsid w:val="00A325F0"/>
    <w:rsid w:val="00A33531"/>
    <w:rsid w:val="00A34C51"/>
    <w:rsid w:val="00A3558C"/>
    <w:rsid w:val="00A35C9B"/>
    <w:rsid w:val="00A400A7"/>
    <w:rsid w:val="00A40708"/>
    <w:rsid w:val="00A40C3A"/>
    <w:rsid w:val="00A43DBA"/>
    <w:rsid w:val="00A4498D"/>
    <w:rsid w:val="00A46C12"/>
    <w:rsid w:val="00A47379"/>
    <w:rsid w:val="00A479FD"/>
    <w:rsid w:val="00A51887"/>
    <w:rsid w:val="00A52167"/>
    <w:rsid w:val="00A54D1D"/>
    <w:rsid w:val="00A55638"/>
    <w:rsid w:val="00A569C8"/>
    <w:rsid w:val="00A57190"/>
    <w:rsid w:val="00A61044"/>
    <w:rsid w:val="00A64E1D"/>
    <w:rsid w:val="00A65C6B"/>
    <w:rsid w:val="00A67078"/>
    <w:rsid w:val="00A724A4"/>
    <w:rsid w:val="00A73133"/>
    <w:rsid w:val="00A73814"/>
    <w:rsid w:val="00A751D6"/>
    <w:rsid w:val="00A772D9"/>
    <w:rsid w:val="00A77303"/>
    <w:rsid w:val="00A81BDD"/>
    <w:rsid w:val="00A826B9"/>
    <w:rsid w:val="00A836A1"/>
    <w:rsid w:val="00A84D2F"/>
    <w:rsid w:val="00A852EF"/>
    <w:rsid w:val="00A85938"/>
    <w:rsid w:val="00A86635"/>
    <w:rsid w:val="00A9059D"/>
    <w:rsid w:val="00A92639"/>
    <w:rsid w:val="00A95E9E"/>
    <w:rsid w:val="00A97197"/>
    <w:rsid w:val="00AA0624"/>
    <w:rsid w:val="00AA51F6"/>
    <w:rsid w:val="00AA72BF"/>
    <w:rsid w:val="00AB0945"/>
    <w:rsid w:val="00AB3BD6"/>
    <w:rsid w:val="00AC0381"/>
    <w:rsid w:val="00AC1519"/>
    <w:rsid w:val="00AC16C9"/>
    <w:rsid w:val="00AC226C"/>
    <w:rsid w:val="00AC2456"/>
    <w:rsid w:val="00AC58C1"/>
    <w:rsid w:val="00AC6573"/>
    <w:rsid w:val="00AD2992"/>
    <w:rsid w:val="00AD3588"/>
    <w:rsid w:val="00AD6C2B"/>
    <w:rsid w:val="00AE0B88"/>
    <w:rsid w:val="00AE0BC9"/>
    <w:rsid w:val="00AE30D7"/>
    <w:rsid w:val="00AE400D"/>
    <w:rsid w:val="00AF05AE"/>
    <w:rsid w:val="00AF05B0"/>
    <w:rsid w:val="00AF1DBC"/>
    <w:rsid w:val="00AF2B79"/>
    <w:rsid w:val="00AF3115"/>
    <w:rsid w:val="00AF3BE1"/>
    <w:rsid w:val="00AF3E47"/>
    <w:rsid w:val="00AF45E7"/>
    <w:rsid w:val="00AF690A"/>
    <w:rsid w:val="00AF726C"/>
    <w:rsid w:val="00B0519B"/>
    <w:rsid w:val="00B0630A"/>
    <w:rsid w:val="00B077A2"/>
    <w:rsid w:val="00B16BBD"/>
    <w:rsid w:val="00B243FD"/>
    <w:rsid w:val="00B26797"/>
    <w:rsid w:val="00B3049C"/>
    <w:rsid w:val="00B31495"/>
    <w:rsid w:val="00B317E3"/>
    <w:rsid w:val="00B31FAF"/>
    <w:rsid w:val="00B34282"/>
    <w:rsid w:val="00B350F3"/>
    <w:rsid w:val="00B362F8"/>
    <w:rsid w:val="00B4025D"/>
    <w:rsid w:val="00B42A79"/>
    <w:rsid w:val="00B4306D"/>
    <w:rsid w:val="00B4344A"/>
    <w:rsid w:val="00B449B4"/>
    <w:rsid w:val="00B44CC0"/>
    <w:rsid w:val="00B46E7E"/>
    <w:rsid w:val="00B47A42"/>
    <w:rsid w:val="00B47CDC"/>
    <w:rsid w:val="00B51277"/>
    <w:rsid w:val="00B51646"/>
    <w:rsid w:val="00B5372F"/>
    <w:rsid w:val="00B57D0E"/>
    <w:rsid w:val="00B60972"/>
    <w:rsid w:val="00B62490"/>
    <w:rsid w:val="00B62756"/>
    <w:rsid w:val="00B629AE"/>
    <w:rsid w:val="00B63096"/>
    <w:rsid w:val="00B64EEB"/>
    <w:rsid w:val="00B650A2"/>
    <w:rsid w:val="00B66CBC"/>
    <w:rsid w:val="00B670DA"/>
    <w:rsid w:val="00B70806"/>
    <w:rsid w:val="00B709E5"/>
    <w:rsid w:val="00B70AB9"/>
    <w:rsid w:val="00B7154F"/>
    <w:rsid w:val="00B7158A"/>
    <w:rsid w:val="00B74C72"/>
    <w:rsid w:val="00B76258"/>
    <w:rsid w:val="00B7736A"/>
    <w:rsid w:val="00B774D8"/>
    <w:rsid w:val="00B778D7"/>
    <w:rsid w:val="00B81A71"/>
    <w:rsid w:val="00B81EEC"/>
    <w:rsid w:val="00B842CE"/>
    <w:rsid w:val="00B85937"/>
    <w:rsid w:val="00B90F28"/>
    <w:rsid w:val="00B91B0C"/>
    <w:rsid w:val="00B93009"/>
    <w:rsid w:val="00B94AAB"/>
    <w:rsid w:val="00B9536F"/>
    <w:rsid w:val="00B95EFD"/>
    <w:rsid w:val="00BA0965"/>
    <w:rsid w:val="00BA0B2C"/>
    <w:rsid w:val="00BA27C6"/>
    <w:rsid w:val="00BA4A56"/>
    <w:rsid w:val="00BA4E44"/>
    <w:rsid w:val="00BA5313"/>
    <w:rsid w:val="00BB1170"/>
    <w:rsid w:val="00BB117F"/>
    <w:rsid w:val="00BB2EFD"/>
    <w:rsid w:val="00BB5040"/>
    <w:rsid w:val="00BB75E8"/>
    <w:rsid w:val="00BC025A"/>
    <w:rsid w:val="00BC379C"/>
    <w:rsid w:val="00BC3F19"/>
    <w:rsid w:val="00BC4B1B"/>
    <w:rsid w:val="00BC7906"/>
    <w:rsid w:val="00BD14EB"/>
    <w:rsid w:val="00BD2848"/>
    <w:rsid w:val="00BD29A7"/>
    <w:rsid w:val="00BD790A"/>
    <w:rsid w:val="00BE0A31"/>
    <w:rsid w:val="00BE4984"/>
    <w:rsid w:val="00BE5B1E"/>
    <w:rsid w:val="00BE7175"/>
    <w:rsid w:val="00BF1FB2"/>
    <w:rsid w:val="00BF2D4A"/>
    <w:rsid w:val="00BF5A1D"/>
    <w:rsid w:val="00BF6B13"/>
    <w:rsid w:val="00BF746C"/>
    <w:rsid w:val="00C0030D"/>
    <w:rsid w:val="00C0342C"/>
    <w:rsid w:val="00C039D9"/>
    <w:rsid w:val="00C041FF"/>
    <w:rsid w:val="00C047C3"/>
    <w:rsid w:val="00C04BF2"/>
    <w:rsid w:val="00C07460"/>
    <w:rsid w:val="00C108D9"/>
    <w:rsid w:val="00C14BBD"/>
    <w:rsid w:val="00C1501B"/>
    <w:rsid w:val="00C2041A"/>
    <w:rsid w:val="00C20DB2"/>
    <w:rsid w:val="00C221EF"/>
    <w:rsid w:val="00C26E72"/>
    <w:rsid w:val="00C273CC"/>
    <w:rsid w:val="00C304AE"/>
    <w:rsid w:val="00C30DC0"/>
    <w:rsid w:val="00C3203D"/>
    <w:rsid w:val="00C32D3C"/>
    <w:rsid w:val="00C37F44"/>
    <w:rsid w:val="00C401D9"/>
    <w:rsid w:val="00C40C9A"/>
    <w:rsid w:val="00C42D1D"/>
    <w:rsid w:val="00C42E23"/>
    <w:rsid w:val="00C43C5E"/>
    <w:rsid w:val="00C43FA3"/>
    <w:rsid w:val="00C46D79"/>
    <w:rsid w:val="00C46E46"/>
    <w:rsid w:val="00C47516"/>
    <w:rsid w:val="00C47B2E"/>
    <w:rsid w:val="00C5225C"/>
    <w:rsid w:val="00C54129"/>
    <w:rsid w:val="00C55518"/>
    <w:rsid w:val="00C5594A"/>
    <w:rsid w:val="00C5615D"/>
    <w:rsid w:val="00C5732F"/>
    <w:rsid w:val="00C57FA5"/>
    <w:rsid w:val="00C57FAF"/>
    <w:rsid w:val="00C61A06"/>
    <w:rsid w:val="00C63AB9"/>
    <w:rsid w:val="00C665BF"/>
    <w:rsid w:val="00C671ED"/>
    <w:rsid w:val="00C67E10"/>
    <w:rsid w:val="00C703CD"/>
    <w:rsid w:val="00C71531"/>
    <w:rsid w:val="00C7328C"/>
    <w:rsid w:val="00C7376A"/>
    <w:rsid w:val="00C7442A"/>
    <w:rsid w:val="00C74D9D"/>
    <w:rsid w:val="00C75D2F"/>
    <w:rsid w:val="00C8174E"/>
    <w:rsid w:val="00C81864"/>
    <w:rsid w:val="00C83E05"/>
    <w:rsid w:val="00C86C34"/>
    <w:rsid w:val="00C876FB"/>
    <w:rsid w:val="00C87E57"/>
    <w:rsid w:val="00C95E3E"/>
    <w:rsid w:val="00C96F3E"/>
    <w:rsid w:val="00CA028E"/>
    <w:rsid w:val="00CA0BDC"/>
    <w:rsid w:val="00CA0EF0"/>
    <w:rsid w:val="00CA0F4B"/>
    <w:rsid w:val="00CA19C6"/>
    <w:rsid w:val="00CA2F14"/>
    <w:rsid w:val="00CA3FCA"/>
    <w:rsid w:val="00CA680D"/>
    <w:rsid w:val="00CA6D3F"/>
    <w:rsid w:val="00CB34D6"/>
    <w:rsid w:val="00CB40A2"/>
    <w:rsid w:val="00CC05D8"/>
    <w:rsid w:val="00CC4647"/>
    <w:rsid w:val="00CC570B"/>
    <w:rsid w:val="00CC7120"/>
    <w:rsid w:val="00CC7919"/>
    <w:rsid w:val="00CC7FAF"/>
    <w:rsid w:val="00CD0C30"/>
    <w:rsid w:val="00CD245D"/>
    <w:rsid w:val="00CD3AB8"/>
    <w:rsid w:val="00CD605C"/>
    <w:rsid w:val="00CD7C11"/>
    <w:rsid w:val="00CE1C53"/>
    <w:rsid w:val="00CE2452"/>
    <w:rsid w:val="00CE542E"/>
    <w:rsid w:val="00CF2574"/>
    <w:rsid w:val="00CF454A"/>
    <w:rsid w:val="00CF48F9"/>
    <w:rsid w:val="00CF59C7"/>
    <w:rsid w:val="00CF794F"/>
    <w:rsid w:val="00D006EF"/>
    <w:rsid w:val="00D00B43"/>
    <w:rsid w:val="00D015AA"/>
    <w:rsid w:val="00D033E2"/>
    <w:rsid w:val="00D06179"/>
    <w:rsid w:val="00D069DA"/>
    <w:rsid w:val="00D10528"/>
    <w:rsid w:val="00D10B4D"/>
    <w:rsid w:val="00D15F7D"/>
    <w:rsid w:val="00D17A66"/>
    <w:rsid w:val="00D216AE"/>
    <w:rsid w:val="00D22304"/>
    <w:rsid w:val="00D23F25"/>
    <w:rsid w:val="00D24226"/>
    <w:rsid w:val="00D26735"/>
    <w:rsid w:val="00D26ECE"/>
    <w:rsid w:val="00D277E0"/>
    <w:rsid w:val="00D31BD2"/>
    <w:rsid w:val="00D341D4"/>
    <w:rsid w:val="00D37BDD"/>
    <w:rsid w:val="00D37FD1"/>
    <w:rsid w:val="00D40359"/>
    <w:rsid w:val="00D40974"/>
    <w:rsid w:val="00D47D61"/>
    <w:rsid w:val="00D50722"/>
    <w:rsid w:val="00D51380"/>
    <w:rsid w:val="00D539EC"/>
    <w:rsid w:val="00D5607D"/>
    <w:rsid w:val="00D57120"/>
    <w:rsid w:val="00D579EF"/>
    <w:rsid w:val="00D57FD2"/>
    <w:rsid w:val="00D602D2"/>
    <w:rsid w:val="00D603A9"/>
    <w:rsid w:val="00D64742"/>
    <w:rsid w:val="00D65003"/>
    <w:rsid w:val="00D7231E"/>
    <w:rsid w:val="00D73863"/>
    <w:rsid w:val="00D74150"/>
    <w:rsid w:val="00D74B9E"/>
    <w:rsid w:val="00D76672"/>
    <w:rsid w:val="00D76C6A"/>
    <w:rsid w:val="00D77310"/>
    <w:rsid w:val="00D77A5A"/>
    <w:rsid w:val="00D80E7D"/>
    <w:rsid w:val="00D81424"/>
    <w:rsid w:val="00D8177A"/>
    <w:rsid w:val="00D82108"/>
    <w:rsid w:val="00D8261E"/>
    <w:rsid w:val="00D84B19"/>
    <w:rsid w:val="00D866EE"/>
    <w:rsid w:val="00D86EF4"/>
    <w:rsid w:val="00D872D8"/>
    <w:rsid w:val="00D876AD"/>
    <w:rsid w:val="00D8779B"/>
    <w:rsid w:val="00D95535"/>
    <w:rsid w:val="00D95FAA"/>
    <w:rsid w:val="00DA0290"/>
    <w:rsid w:val="00DA0576"/>
    <w:rsid w:val="00DA38AB"/>
    <w:rsid w:val="00DA405B"/>
    <w:rsid w:val="00DA5DF3"/>
    <w:rsid w:val="00DB1510"/>
    <w:rsid w:val="00DB3DAB"/>
    <w:rsid w:val="00DB46DE"/>
    <w:rsid w:val="00DB5F1D"/>
    <w:rsid w:val="00DB684D"/>
    <w:rsid w:val="00DB6A99"/>
    <w:rsid w:val="00DB70A9"/>
    <w:rsid w:val="00DC2012"/>
    <w:rsid w:val="00DC3CD4"/>
    <w:rsid w:val="00DC6274"/>
    <w:rsid w:val="00DD0F5B"/>
    <w:rsid w:val="00DD17E2"/>
    <w:rsid w:val="00DD1FF9"/>
    <w:rsid w:val="00DD38FB"/>
    <w:rsid w:val="00DD5BE3"/>
    <w:rsid w:val="00DD5C81"/>
    <w:rsid w:val="00DD631C"/>
    <w:rsid w:val="00DE071E"/>
    <w:rsid w:val="00DE2620"/>
    <w:rsid w:val="00DE7E89"/>
    <w:rsid w:val="00DF01B5"/>
    <w:rsid w:val="00DF0464"/>
    <w:rsid w:val="00DF176C"/>
    <w:rsid w:val="00DF198C"/>
    <w:rsid w:val="00DF1F16"/>
    <w:rsid w:val="00DF3F87"/>
    <w:rsid w:val="00DF5D6B"/>
    <w:rsid w:val="00E01DB7"/>
    <w:rsid w:val="00E03F37"/>
    <w:rsid w:val="00E055C7"/>
    <w:rsid w:val="00E07600"/>
    <w:rsid w:val="00E11EB3"/>
    <w:rsid w:val="00E1223B"/>
    <w:rsid w:val="00E12F24"/>
    <w:rsid w:val="00E13655"/>
    <w:rsid w:val="00E13DDA"/>
    <w:rsid w:val="00E15454"/>
    <w:rsid w:val="00E16D0A"/>
    <w:rsid w:val="00E21ABC"/>
    <w:rsid w:val="00E27472"/>
    <w:rsid w:val="00E300F3"/>
    <w:rsid w:val="00E31511"/>
    <w:rsid w:val="00E33AA0"/>
    <w:rsid w:val="00E3414B"/>
    <w:rsid w:val="00E34C37"/>
    <w:rsid w:val="00E35505"/>
    <w:rsid w:val="00E3561C"/>
    <w:rsid w:val="00E35DFC"/>
    <w:rsid w:val="00E360C5"/>
    <w:rsid w:val="00E3658D"/>
    <w:rsid w:val="00E36C3D"/>
    <w:rsid w:val="00E473C9"/>
    <w:rsid w:val="00E479A6"/>
    <w:rsid w:val="00E52022"/>
    <w:rsid w:val="00E524A4"/>
    <w:rsid w:val="00E52674"/>
    <w:rsid w:val="00E52E3C"/>
    <w:rsid w:val="00E52F35"/>
    <w:rsid w:val="00E5432C"/>
    <w:rsid w:val="00E54B2A"/>
    <w:rsid w:val="00E56601"/>
    <w:rsid w:val="00E56CE3"/>
    <w:rsid w:val="00E62499"/>
    <w:rsid w:val="00E64C45"/>
    <w:rsid w:val="00E6647B"/>
    <w:rsid w:val="00E67D79"/>
    <w:rsid w:val="00E71389"/>
    <w:rsid w:val="00E71395"/>
    <w:rsid w:val="00E734ED"/>
    <w:rsid w:val="00E7550E"/>
    <w:rsid w:val="00E776A0"/>
    <w:rsid w:val="00E819A8"/>
    <w:rsid w:val="00E83DCC"/>
    <w:rsid w:val="00E84A6C"/>
    <w:rsid w:val="00E84B6D"/>
    <w:rsid w:val="00E86F55"/>
    <w:rsid w:val="00E91E41"/>
    <w:rsid w:val="00E926F6"/>
    <w:rsid w:val="00E92D95"/>
    <w:rsid w:val="00E93ACC"/>
    <w:rsid w:val="00E93DC8"/>
    <w:rsid w:val="00E94A46"/>
    <w:rsid w:val="00E96A1D"/>
    <w:rsid w:val="00E96FE3"/>
    <w:rsid w:val="00EA3E07"/>
    <w:rsid w:val="00EA55C5"/>
    <w:rsid w:val="00EA5C75"/>
    <w:rsid w:val="00EA5FAA"/>
    <w:rsid w:val="00EA63E0"/>
    <w:rsid w:val="00EA7057"/>
    <w:rsid w:val="00EA7081"/>
    <w:rsid w:val="00EA7D84"/>
    <w:rsid w:val="00EB2318"/>
    <w:rsid w:val="00EB31C5"/>
    <w:rsid w:val="00EB34F6"/>
    <w:rsid w:val="00EB50B2"/>
    <w:rsid w:val="00EB66FE"/>
    <w:rsid w:val="00EC3FB9"/>
    <w:rsid w:val="00EC5B2B"/>
    <w:rsid w:val="00EC6912"/>
    <w:rsid w:val="00ED14E7"/>
    <w:rsid w:val="00ED2FD4"/>
    <w:rsid w:val="00ED40FA"/>
    <w:rsid w:val="00ED4259"/>
    <w:rsid w:val="00ED6E60"/>
    <w:rsid w:val="00ED7A98"/>
    <w:rsid w:val="00EE3811"/>
    <w:rsid w:val="00EE38C3"/>
    <w:rsid w:val="00EE3EBE"/>
    <w:rsid w:val="00EE4071"/>
    <w:rsid w:val="00EE4439"/>
    <w:rsid w:val="00EE5903"/>
    <w:rsid w:val="00EE7E47"/>
    <w:rsid w:val="00EF0162"/>
    <w:rsid w:val="00EF079A"/>
    <w:rsid w:val="00EF161B"/>
    <w:rsid w:val="00EF3E3D"/>
    <w:rsid w:val="00EF3F55"/>
    <w:rsid w:val="00EF4599"/>
    <w:rsid w:val="00F00CB9"/>
    <w:rsid w:val="00F05F8A"/>
    <w:rsid w:val="00F0792C"/>
    <w:rsid w:val="00F147FA"/>
    <w:rsid w:val="00F14B9E"/>
    <w:rsid w:val="00F14E9C"/>
    <w:rsid w:val="00F153C0"/>
    <w:rsid w:val="00F160B6"/>
    <w:rsid w:val="00F20534"/>
    <w:rsid w:val="00F2263F"/>
    <w:rsid w:val="00F24BED"/>
    <w:rsid w:val="00F255AF"/>
    <w:rsid w:val="00F26D04"/>
    <w:rsid w:val="00F27527"/>
    <w:rsid w:val="00F27F63"/>
    <w:rsid w:val="00F30AF1"/>
    <w:rsid w:val="00F30BB0"/>
    <w:rsid w:val="00F31DBD"/>
    <w:rsid w:val="00F324A9"/>
    <w:rsid w:val="00F32C22"/>
    <w:rsid w:val="00F37047"/>
    <w:rsid w:val="00F422CF"/>
    <w:rsid w:val="00F45F8F"/>
    <w:rsid w:val="00F47405"/>
    <w:rsid w:val="00F506BB"/>
    <w:rsid w:val="00F506F6"/>
    <w:rsid w:val="00F50F2B"/>
    <w:rsid w:val="00F5259D"/>
    <w:rsid w:val="00F53F51"/>
    <w:rsid w:val="00F55AA8"/>
    <w:rsid w:val="00F60C2A"/>
    <w:rsid w:val="00F6205E"/>
    <w:rsid w:val="00F62450"/>
    <w:rsid w:val="00F6421D"/>
    <w:rsid w:val="00F643D5"/>
    <w:rsid w:val="00F666AA"/>
    <w:rsid w:val="00F66BE1"/>
    <w:rsid w:val="00F671CE"/>
    <w:rsid w:val="00F67D7C"/>
    <w:rsid w:val="00F71294"/>
    <w:rsid w:val="00F726E2"/>
    <w:rsid w:val="00F746B1"/>
    <w:rsid w:val="00F7499D"/>
    <w:rsid w:val="00F74FFF"/>
    <w:rsid w:val="00F76451"/>
    <w:rsid w:val="00F801DD"/>
    <w:rsid w:val="00F81864"/>
    <w:rsid w:val="00F82BAF"/>
    <w:rsid w:val="00F86453"/>
    <w:rsid w:val="00F878CC"/>
    <w:rsid w:val="00F92687"/>
    <w:rsid w:val="00F93638"/>
    <w:rsid w:val="00F9369E"/>
    <w:rsid w:val="00FA122F"/>
    <w:rsid w:val="00FA5995"/>
    <w:rsid w:val="00FA6302"/>
    <w:rsid w:val="00FA6A21"/>
    <w:rsid w:val="00FB0AC8"/>
    <w:rsid w:val="00FB2C44"/>
    <w:rsid w:val="00FB30A0"/>
    <w:rsid w:val="00FB3BFC"/>
    <w:rsid w:val="00FB5B71"/>
    <w:rsid w:val="00FB74C5"/>
    <w:rsid w:val="00FB784B"/>
    <w:rsid w:val="00FC02A4"/>
    <w:rsid w:val="00FC0EF6"/>
    <w:rsid w:val="00FC288C"/>
    <w:rsid w:val="00FC32E6"/>
    <w:rsid w:val="00FC3E2D"/>
    <w:rsid w:val="00FC419F"/>
    <w:rsid w:val="00FC5694"/>
    <w:rsid w:val="00FC6CDA"/>
    <w:rsid w:val="00FC7396"/>
    <w:rsid w:val="00FD0D47"/>
    <w:rsid w:val="00FD1F49"/>
    <w:rsid w:val="00FD5274"/>
    <w:rsid w:val="00FD53A9"/>
    <w:rsid w:val="00FD5571"/>
    <w:rsid w:val="00FD58B8"/>
    <w:rsid w:val="00FD695B"/>
    <w:rsid w:val="00FD79AE"/>
    <w:rsid w:val="00FE0105"/>
    <w:rsid w:val="00FE22D3"/>
    <w:rsid w:val="00FE4A4F"/>
    <w:rsid w:val="00FE51BC"/>
    <w:rsid w:val="00FE6852"/>
    <w:rsid w:val="00FF1CD4"/>
    <w:rsid w:val="00FF2915"/>
    <w:rsid w:val="00FF3238"/>
    <w:rsid w:val="00FF3CD5"/>
    <w:rsid w:val="00FF6D07"/>
    <w:rsid w:val="013B2B33"/>
    <w:rsid w:val="023A2E4D"/>
    <w:rsid w:val="02BB02CC"/>
    <w:rsid w:val="03D70271"/>
    <w:rsid w:val="03E72B61"/>
    <w:rsid w:val="057B5C57"/>
    <w:rsid w:val="06D901DD"/>
    <w:rsid w:val="07FDCFDA"/>
    <w:rsid w:val="081234E6"/>
    <w:rsid w:val="09572272"/>
    <w:rsid w:val="09AE505A"/>
    <w:rsid w:val="09FD7315"/>
    <w:rsid w:val="0B143988"/>
    <w:rsid w:val="0B2F0F08"/>
    <w:rsid w:val="0B3E687F"/>
    <w:rsid w:val="0D350DE1"/>
    <w:rsid w:val="0DA41AC3"/>
    <w:rsid w:val="0E823544"/>
    <w:rsid w:val="0E990FDB"/>
    <w:rsid w:val="0F304DD1"/>
    <w:rsid w:val="10725E1F"/>
    <w:rsid w:val="12FE2472"/>
    <w:rsid w:val="14B2243D"/>
    <w:rsid w:val="14D831D2"/>
    <w:rsid w:val="15907FDC"/>
    <w:rsid w:val="180E5AAF"/>
    <w:rsid w:val="19037C3E"/>
    <w:rsid w:val="19826F8A"/>
    <w:rsid w:val="1BE136FF"/>
    <w:rsid w:val="1CF87588"/>
    <w:rsid w:val="1D0A2ECA"/>
    <w:rsid w:val="1E086AA1"/>
    <w:rsid w:val="1E2B6BE7"/>
    <w:rsid w:val="1E794A4F"/>
    <w:rsid w:val="1E9811D0"/>
    <w:rsid w:val="228710B6"/>
    <w:rsid w:val="22D46273"/>
    <w:rsid w:val="25BC564F"/>
    <w:rsid w:val="25F2630E"/>
    <w:rsid w:val="2708572C"/>
    <w:rsid w:val="27820AE2"/>
    <w:rsid w:val="281079D4"/>
    <w:rsid w:val="28280031"/>
    <w:rsid w:val="28697739"/>
    <w:rsid w:val="299B03FE"/>
    <w:rsid w:val="2D2D1B82"/>
    <w:rsid w:val="2E6C3A72"/>
    <w:rsid w:val="2F11754B"/>
    <w:rsid w:val="2F3930B6"/>
    <w:rsid w:val="2F913F98"/>
    <w:rsid w:val="2FDA33BA"/>
    <w:rsid w:val="30CD066B"/>
    <w:rsid w:val="31AB7CC8"/>
    <w:rsid w:val="33246D09"/>
    <w:rsid w:val="34CC612F"/>
    <w:rsid w:val="3508336B"/>
    <w:rsid w:val="360A4309"/>
    <w:rsid w:val="36D97FDD"/>
    <w:rsid w:val="376D4111"/>
    <w:rsid w:val="38256634"/>
    <w:rsid w:val="3B56085F"/>
    <w:rsid w:val="3C24593E"/>
    <w:rsid w:val="3C9D05D4"/>
    <w:rsid w:val="3E8B1AC7"/>
    <w:rsid w:val="3E921D43"/>
    <w:rsid w:val="3F940AF4"/>
    <w:rsid w:val="40630396"/>
    <w:rsid w:val="40CC0726"/>
    <w:rsid w:val="42870F07"/>
    <w:rsid w:val="433E3844"/>
    <w:rsid w:val="43AE5BAD"/>
    <w:rsid w:val="43CA2C83"/>
    <w:rsid w:val="473944C1"/>
    <w:rsid w:val="48134AC2"/>
    <w:rsid w:val="497A134E"/>
    <w:rsid w:val="49C36F03"/>
    <w:rsid w:val="4A7067BD"/>
    <w:rsid w:val="4BF3487F"/>
    <w:rsid w:val="4C6753EC"/>
    <w:rsid w:val="4CCF19B1"/>
    <w:rsid w:val="4E437F61"/>
    <w:rsid w:val="4E6A155C"/>
    <w:rsid w:val="4E97E95E"/>
    <w:rsid w:val="4EC356F0"/>
    <w:rsid w:val="4FF7401E"/>
    <w:rsid w:val="50203167"/>
    <w:rsid w:val="504965BB"/>
    <w:rsid w:val="50565954"/>
    <w:rsid w:val="522D1483"/>
    <w:rsid w:val="550E02B0"/>
    <w:rsid w:val="55806C15"/>
    <w:rsid w:val="55C958CD"/>
    <w:rsid w:val="57EF2F07"/>
    <w:rsid w:val="58E16CF4"/>
    <w:rsid w:val="596A6333"/>
    <w:rsid w:val="59784246"/>
    <w:rsid w:val="59FD52F2"/>
    <w:rsid w:val="5C6179EE"/>
    <w:rsid w:val="5F70492E"/>
    <w:rsid w:val="5FFF6623"/>
    <w:rsid w:val="61264936"/>
    <w:rsid w:val="628415A9"/>
    <w:rsid w:val="62B171E5"/>
    <w:rsid w:val="630E6AB7"/>
    <w:rsid w:val="6358340E"/>
    <w:rsid w:val="639C5550"/>
    <w:rsid w:val="64083B4A"/>
    <w:rsid w:val="64B44FCB"/>
    <w:rsid w:val="6516599A"/>
    <w:rsid w:val="65C95B45"/>
    <w:rsid w:val="663C6D92"/>
    <w:rsid w:val="677D7EA2"/>
    <w:rsid w:val="693E2E18"/>
    <w:rsid w:val="69C50439"/>
    <w:rsid w:val="6AB75B07"/>
    <w:rsid w:val="6BC740BF"/>
    <w:rsid w:val="6BFC473B"/>
    <w:rsid w:val="6F06705D"/>
    <w:rsid w:val="705362D1"/>
    <w:rsid w:val="71452DCF"/>
    <w:rsid w:val="736D76AA"/>
    <w:rsid w:val="740B2A1F"/>
    <w:rsid w:val="744A1DC0"/>
    <w:rsid w:val="745A29C6"/>
    <w:rsid w:val="757D616F"/>
    <w:rsid w:val="757E33E6"/>
    <w:rsid w:val="759E1D9D"/>
    <w:rsid w:val="75DF4508"/>
    <w:rsid w:val="75EF81FB"/>
    <w:rsid w:val="764E3FDD"/>
    <w:rsid w:val="774B1AB0"/>
    <w:rsid w:val="77FFB8C7"/>
    <w:rsid w:val="78C508E3"/>
    <w:rsid w:val="79F02EB6"/>
    <w:rsid w:val="7ACB689F"/>
    <w:rsid w:val="7B2255A3"/>
    <w:rsid w:val="7B502FE1"/>
    <w:rsid w:val="7B98103C"/>
    <w:rsid w:val="7CBB3234"/>
    <w:rsid w:val="7E88183C"/>
    <w:rsid w:val="7F91C684"/>
    <w:rsid w:val="7F983D01"/>
    <w:rsid w:val="7FC7AF04"/>
    <w:rsid w:val="7FEB6C89"/>
    <w:rsid w:val="7FF680FA"/>
    <w:rsid w:val="89EF1305"/>
    <w:rsid w:val="AEDB79F1"/>
    <w:rsid w:val="BB3F5827"/>
    <w:rsid w:val="BB7ECB2E"/>
    <w:rsid w:val="BDFDCB38"/>
    <w:rsid w:val="BEB3C43B"/>
    <w:rsid w:val="EBFB7FF7"/>
    <w:rsid w:val="EFCF8025"/>
    <w:rsid w:val="EFF49A53"/>
    <w:rsid w:val="EFFBB1B6"/>
    <w:rsid w:val="F6AF6D49"/>
    <w:rsid w:val="FBCA0864"/>
    <w:rsid w:val="FBE31F16"/>
    <w:rsid w:val="FBFF5475"/>
    <w:rsid w:val="FDDF6ECF"/>
    <w:rsid w:val="FDFFF003"/>
    <w:rsid w:val="FEEFAFB6"/>
    <w:rsid w:val="FEF7207C"/>
    <w:rsid w:val="FE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99" w:semiHidden="0" w:name="toc 1"/>
    <w:lsdException w:qFormat="1" w:uiPriority="0" w:semiHidden="0" w:name="toc 2"/>
    <w:lsdException w:qFormat="1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99" w:semiHidden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35" w:semiHidden="0" w:name="caption"/>
    <w:lsdException w:qFormat="1" w:unhideWhenUsed="0" w:uiPriority="99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iPriority="99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qFormat="1"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qFormat="1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link w:val="56"/>
    <w:qFormat/>
    <w:uiPriority w:val="1"/>
    <w:pPr>
      <w:keepNext/>
      <w:keepLines/>
      <w:spacing w:before="340" w:after="330" w:line="576" w:lineRule="auto"/>
      <w:outlineLvl w:val="0"/>
    </w:pPr>
    <w:rPr>
      <w:rFonts w:ascii="Calibri" w:hAnsi="Calibri"/>
      <w:b/>
      <w:kern w:val="44"/>
      <w:sz w:val="44"/>
      <w:szCs w:val="22"/>
    </w:rPr>
  </w:style>
  <w:style w:type="paragraph" w:styleId="6">
    <w:name w:val="heading 2"/>
    <w:basedOn w:val="1"/>
    <w:next w:val="1"/>
    <w:link w:val="180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7">
    <w:name w:val="heading 3"/>
    <w:basedOn w:val="1"/>
    <w:next w:val="1"/>
    <w:link w:val="216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8">
    <w:name w:val="heading 4"/>
    <w:basedOn w:val="1"/>
    <w:next w:val="1"/>
    <w:link w:val="57"/>
    <w:qFormat/>
    <w:uiPriority w:val="1"/>
    <w:pPr>
      <w:keepNext/>
      <w:keepLines/>
      <w:adjustRightInd w:val="0"/>
      <w:snapToGrid w:val="0"/>
      <w:spacing w:before="280" w:after="290" w:line="376" w:lineRule="atLeast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40">
    <w:name w:val="Default Paragraph Font"/>
    <w:semiHidden/>
    <w:unhideWhenUsed/>
    <w:qFormat/>
    <w:uiPriority w:val="1"/>
  </w:style>
  <w:style w:type="table" w:default="1" w:styleId="3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99"/>
    <w:pPr>
      <w:ind w:firstLine="420"/>
    </w:pPr>
  </w:style>
  <w:style w:type="paragraph" w:styleId="3">
    <w:name w:val="Body Text First Indent 2"/>
    <w:basedOn w:val="4"/>
    <w:qFormat/>
    <w:uiPriority w:val="0"/>
    <w:pPr>
      <w:widowControl/>
      <w:autoSpaceDE w:val="0"/>
      <w:autoSpaceDN w:val="0"/>
      <w:spacing w:before="100" w:beforeAutospacing="1" w:after="100" w:afterAutospacing="1"/>
      <w:ind w:left="200"/>
    </w:pPr>
    <w:rPr>
      <w:rFonts w:ascii="微软雅黑" w:hAnsi="微软雅黑" w:eastAsia="微软雅黑"/>
      <w:kern w:val="0"/>
      <w:sz w:val="24"/>
    </w:rPr>
  </w:style>
  <w:style w:type="paragraph" w:styleId="4">
    <w:name w:val="Body Text Indent"/>
    <w:basedOn w:val="1"/>
    <w:link w:val="263"/>
    <w:qFormat/>
    <w:uiPriority w:val="99"/>
    <w:pPr>
      <w:spacing w:line="360" w:lineRule="auto"/>
      <w:ind w:firstLine="560"/>
    </w:pPr>
    <w:rPr>
      <w:rFonts w:ascii="仿宋_GB2312" w:hAnsi="宋体" w:eastAsia="仿宋_GB2312"/>
      <w:sz w:val="28"/>
    </w:rPr>
  </w:style>
  <w:style w:type="paragraph" w:styleId="9">
    <w:name w:val="toc 7"/>
    <w:basedOn w:val="1"/>
    <w:next w:val="1"/>
    <w:qFormat/>
    <w:uiPriority w:val="0"/>
    <w:pPr>
      <w:adjustRightInd w:val="0"/>
      <w:snapToGrid w:val="0"/>
      <w:spacing w:line="400" w:lineRule="exact"/>
      <w:ind w:left="2520" w:leftChars="1200" w:firstLine="200" w:firstLineChars="200"/>
    </w:pPr>
    <w:rPr>
      <w:sz w:val="24"/>
    </w:rPr>
  </w:style>
  <w:style w:type="paragraph" w:styleId="10">
    <w:name w:val="caption"/>
    <w:basedOn w:val="1"/>
    <w:next w:val="1"/>
    <w:qFormat/>
    <w:uiPriority w:val="35"/>
    <w:pPr>
      <w:adjustRightInd w:val="0"/>
      <w:snapToGrid w:val="0"/>
      <w:spacing w:line="400" w:lineRule="exact"/>
      <w:ind w:firstLine="200" w:firstLineChars="200"/>
    </w:pPr>
    <w:rPr>
      <w:rFonts w:ascii="Cambria" w:hAnsi="Cambria" w:eastAsia="黑体"/>
      <w:sz w:val="20"/>
      <w:szCs w:val="20"/>
    </w:rPr>
  </w:style>
  <w:style w:type="paragraph" w:styleId="11">
    <w:name w:val="Document Map"/>
    <w:basedOn w:val="1"/>
    <w:link w:val="101"/>
    <w:unhideWhenUsed/>
    <w:qFormat/>
    <w:uiPriority w:val="0"/>
    <w:rPr>
      <w:rFonts w:ascii="宋体" w:hAnsi="Calibri"/>
      <w:sz w:val="18"/>
      <w:szCs w:val="18"/>
    </w:rPr>
  </w:style>
  <w:style w:type="paragraph" w:styleId="12">
    <w:name w:val="annotation text"/>
    <w:basedOn w:val="1"/>
    <w:link w:val="112"/>
    <w:unhideWhenUsed/>
    <w:qFormat/>
    <w:uiPriority w:val="0"/>
    <w:pPr>
      <w:jc w:val="left"/>
    </w:pPr>
    <w:rPr>
      <w:rFonts w:ascii="Calibri" w:hAnsi="Calibri" w:eastAsia="宋体" w:cs="Times New Roman"/>
      <w:szCs w:val="22"/>
    </w:rPr>
  </w:style>
  <w:style w:type="paragraph" w:styleId="13">
    <w:name w:val="Body Text"/>
    <w:basedOn w:val="1"/>
    <w:link w:val="73"/>
    <w:qFormat/>
    <w:uiPriority w:val="1"/>
    <w:pPr>
      <w:spacing w:after="120"/>
    </w:pPr>
  </w:style>
  <w:style w:type="paragraph" w:styleId="14">
    <w:name w:val="Block Text"/>
    <w:basedOn w:val="1"/>
    <w:qFormat/>
    <w:uiPriority w:val="0"/>
    <w:pPr>
      <w:adjustRightInd w:val="0"/>
      <w:ind w:left="-2" w:leftChars="-50" w:right="-2" w:rightChars="-1" w:hanging="103" w:hangingChars="43"/>
    </w:pPr>
    <w:rPr>
      <w:rFonts w:ascii="宋体"/>
      <w:sz w:val="24"/>
      <w:szCs w:val="20"/>
    </w:rPr>
  </w:style>
  <w:style w:type="paragraph" w:styleId="15">
    <w:name w:val="toc 5"/>
    <w:basedOn w:val="1"/>
    <w:next w:val="1"/>
    <w:qFormat/>
    <w:uiPriority w:val="0"/>
    <w:pPr>
      <w:adjustRightInd w:val="0"/>
      <w:snapToGrid w:val="0"/>
      <w:spacing w:line="400" w:lineRule="exact"/>
      <w:ind w:left="1680" w:leftChars="800" w:firstLine="200" w:firstLineChars="200"/>
    </w:pPr>
    <w:rPr>
      <w:sz w:val="24"/>
    </w:rPr>
  </w:style>
  <w:style w:type="paragraph" w:styleId="16">
    <w:name w:val="toc 3"/>
    <w:basedOn w:val="1"/>
    <w:next w:val="1"/>
    <w:unhideWhenUsed/>
    <w:qFormat/>
    <w:uiPriority w:val="0"/>
    <w:pPr>
      <w:tabs>
        <w:tab w:val="right" w:leader="dot" w:pos="8296"/>
      </w:tabs>
      <w:spacing w:line="360" w:lineRule="auto"/>
    </w:pPr>
    <w:rPr>
      <w:rFonts w:ascii="黑体" w:hAnsi="黑体" w:eastAsia="黑体"/>
      <w:sz w:val="28"/>
      <w:szCs w:val="22"/>
    </w:rPr>
  </w:style>
  <w:style w:type="paragraph" w:styleId="17">
    <w:name w:val="Plain Text"/>
    <w:basedOn w:val="1"/>
    <w:link w:val="185"/>
    <w:qFormat/>
    <w:uiPriority w:val="99"/>
    <w:rPr>
      <w:rFonts w:ascii="宋体" w:hAnsi="Courier New"/>
      <w:szCs w:val="21"/>
    </w:rPr>
  </w:style>
  <w:style w:type="paragraph" w:styleId="18">
    <w:name w:val="toc 8"/>
    <w:basedOn w:val="1"/>
    <w:next w:val="1"/>
    <w:qFormat/>
    <w:uiPriority w:val="0"/>
    <w:pPr>
      <w:adjustRightInd w:val="0"/>
      <w:snapToGrid w:val="0"/>
      <w:spacing w:line="400" w:lineRule="exact"/>
      <w:ind w:left="2940" w:leftChars="1400" w:firstLine="200" w:firstLineChars="200"/>
    </w:pPr>
    <w:rPr>
      <w:sz w:val="24"/>
    </w:rPr>
  </w:style>
  <w:style w:type="paragraph" w:styleId="19">
    <w:name w:val="Date"/>
    <w:basedOn w:val="1"/>
    <w:next w:val="1"/>
    <w:link w:val="209"/>
    <w:qFormat/>
    <w:uiPriority w:val="99"/>
  </w:style>
  <w:style w:type="paragraph" w:styleId="20">
    <w:name w:val="Body Text Indent 2"/>
    <w:basedOn w:val="1"/>
    <w:link w:val="68"/>
    <w:qFormat/>
    <w:uiPriority w:val="0"/>
    <w:pPr>
      <w:ind w:firstLine="600"/>
    </w:pPr>
    <w:rPr>
      <w:sz w:val="30"/>
    </w:rPr>
  </w:style>
  <w:style w:type="paragraph" w:styleId="21">
    <w:name w:val="endnote text"/>
    <w:basedOn w:val="1"/>
    <w:link w:val="94"/>
    <w:qFormat/>
    <w:uiPriority w:val="99"/>
    <w:pPr>
      <w:snapToGrid w:val="0"/>
      <w:jc w:val="left"/>
    </w:pPr>
    <w:rPr>
      <w:sz w:val="28"/>
    </w:rPr>
  </w:style>
  <w:style w:type="paragraph" w:styleId="22">
    <w:name w:val="Balloon Text"/>
    <w:basedOn w:val="1"/>
    <w:link w:val="199"/>
    <w:qFormat/>
    <w:uiPriority w:val="0"/>
    <w:rPr>
      <w:sz w:val="18"/>
      <w:szCs w:val="18"/>
    </w:rPr>
  </w:style>
  <w:style w:type="paragraph" w:styleId="23">
    <w:name w:val="footer"/>
    <w:basedOn w:val="1"/>
    <w:link w:val="25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4">
    <w:name w:val="header"/>
    <w:basedOn w:val="1"/>
    <w:link w:val="1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5">
    <w:name w:val="Signature"/>
    <w:basedOn w:val="1"/>
    <w:link w:val="226"/>
    <w:qFormat/>
    <w:uiPriority w:val="0"/>
    <w:pPr>
      <w:adjustRightInd w:val="0"/>
      <w:snapToGrid w:val="0"/>
      <w:spacing w:line="400" w:lineRule="exact"/>
      <w:ind w:left="100" w:leftChars="2100" w:firstLine="200" w:firstLineChars="200"/>
    </w:pPr>
    <w:rPr>
      <w:sz w:val="24"/>
    </w:rPr>
  </w:style>
  <w:style w:type="paragraph" w:styleId="26">
    <w:name w:val="toc 1"/>
    <w:basedOn w:val="1"/>
    <w:next w:val="1"/>
    <w:unhideWhenUsed/>
    <w:qFormat/>
    <w:uiPriority w:val="99"/>
    <w:pPr>
      <w:widowControl/>
      <w:wordWrap w:val="0"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</w:rPr>
  </w:style>
  <w:style w:type="paragraph" w:styleId="27">
    <w:name w:val="toc 4"/>
    <w:basedOn w:val="1"/>
    <w:next w:val="1"/>
    <w:qFormat/>
    <w:uiPriority w:val="0"/>
    <w:pPr>
      <w:adjustRightInd w:val="0"/>
      <w:snapToGrid w:val="0"/>
      <w:spacing w:line="400" w:lineRule="exact"/>
      <w:ind w:left="1260" w:leftChars="600" w:firstLine="200" w:firstLineChars="200"/>
    </w:pPr>
    <w:rPr>
      <w:sz w:val="24"/>
    </w:rPr>
  </w:style>
  <w:style w:type="paragraph" w:styleId="28">
    <w:name w:val="Subtitle"/>
    <w:basedOn w:val="1"/>
    <w:next w:val="1"/>
    <w:link w:val="277"/>
    <w:qFormat/>
    <w:uiPriority w:val="0"/>
    <w:pPr>
      <w:spacing w:before="240" w:after="60" w:line="312" w:lineRule="auto"/>
      <w:jc w:val="left"/>
      <w:outlineLvl w:val="1"/>
    </w:pPr>
    <w:rPr>
      <w:rFonts w:ascii="Calibri Light" w:hAnsi="Calibri Light" w:cs="黑体"/>
      <w:b/>
      <w:bCs/>
      <w:kern w:val="28"/>
      <w:sz w:val="32"/>
      <w:szCs w:val="32"/>
    </w:rPr>
  </w:style>
  <w:style w:type="paragraph" w:styleId="29">
    <w:name w:val="footnote text"/>
    <w:basedOn w:val="1"/>
    <w:link w:val="171"/>
    <w:qFormat/>
    <w:uiPriority w:val="0"/>
    <w:pPr>
      <w:snapToGrid w:val="0"/>
      <w:jc w:val="left"/>
    </w:pPr>
    <w:rPr>
      <w:sz w:val="18"/>
      <w:szCs w:val="18"/>
    </w:rPr>
  </w:style>
  <w:style w:type="paragraph" w:styleId="30">
    <w:name w:val="toc 6"/>
    <w:basedOn w:val="1"/>
    <w:next w:val="1"/>
    <w:qFormat/>
    <w:uiPriority w:val="0"/>
    <w:pPr>
      <w:adjustRightInd w:val="0"/>
      <w:snapToGrid w:val="0"/>
      <w:spacing w:line="400" w:lineRule="exact"/>
      <w:ind w:left="2100" w:leftChars="1000" w:firstLine="200" w:firstLineChars="200"/>
    </w:pPr>
    <w:rPr>
      <w:sz w:val="24"/>
    </w:rPr>
  </w:style>
  <w:style w:type="paragraph" w:styleId="31">
    <w:name w:val="Body Text Indent 3"/>
    <w:basedOn w:val="1"/>
    <w:link w:val="14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99"/>
    <w:pPr>
      <w:adjustRightInd w:val="0"/>
      <w:snapToGrid w:val="0"/>
      <w:spacing w:line="400" w:lineRule="exact"/>
      <w:ind w:left="200" w:leftChars="200" w:hanging="200" w:hangingChars="200"/>
    </w:pPr>
    <w:rPr>
      <w:sz w:val="24"/>
    </w:rPr>
  </w:style>
  <w:style w:type="paragraph" w:styleId="33">
    <w:name w:val="toc 2"/>
    <w:basedOn w:val="1"/>
    <w:next w:val="1"/>
    <w:unhideWhenUsed/>
    <w:qFormat/>
    <w:uiPriority w:val="0"/>
    <w:pPr>
      <w:tabs>
        <w:tab w:val="right" w:leader="dot" w:pos="8296"/>
      </w:tabs>
      <w:ind w:left="283" w:leftChars="135"/>
    </w:pPr>
    <w:rPr>
      <w:rFonts w:ascii="Calibri" w:hAnsi="Calibri"/>
      <w:szCs w:val="22"/>
    </w:rPr>
  </w:style>
  <w:style w:type="paragraph" w:styleId="34">
    <w:name w:val="toc 9"/>
    <w:basedOn w:val="1"/>
    <w:next w:val="1"/>
    <w:qFormat/>
    <w:uiPriority w:val="0"/>
    <w:pPr>
      <w:adjustRightInd w:val="0"/>
      <w:snapToGrid w:val="0"/>
      <w:spacing w:line="400" w:lineRule="exact"/>
      <w:ind w:left="3360" w:leftChars="1600" w:firstLine="200" w:firstLineChars="200"/>
    </w:pPr>
    <w:rPr>
      <w:sz w:val="24"/>
    </w:rPr>
  </w:style>
  <w:style w:type="paragraph" w:styleId="35">
    <w:name w:val="Normal (Web)"/>
    <w:basedOn w:val="1"/>
    <w:unhideWhenUsed/>
    <w:qFormat/>
    <w:uiPriority w:val="99"/>
    <w:pPr>
      <w:widowControl/>
      <w:jc w:val="left"/>
    </w:pPr>
    <w:rPr>
      <w:rFonts w:ascii="宋体" w:hAnsi="宋体" w:cs="宋体"/>
      <w:kern w:val="0"/>
      <w:sz w:val="24"/>
    </w:rPr>
  </w:style>
  <w:style w:type="paragraph" w:styleId="36">
    <w:name w:val="Title"/>
    <w:basedOn w:val="1"/>
    <w:next w:val="1"/>
    <w:link w:val="256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7">
    <w:name w:val="annotation subject"/>
    <w:basedOn w:val="12"/>
    <w:next w:val="12"/>
    <w:link w:val="150"/>
    <w:unhideWhenUsed/>
    <w:qFormat/>
    <w:uiPriority w:val="0"/>
    <w:rPr>
      <w:b/>
      <w:bCs/>
    </w:rPr>
  </w:style>
  <w:style w:type="table" w:styleId="39">
    <w:name w:val="Table Grid"/>
    <w:basedOn w:val="3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1">
    <w:name w:val="Strong"/>
    <w:qFormat/>
    <w:uiPriority w:val="0"/>
    <w:rPr>
      <w:b/>
      <w:bCs/>
    </w:rPr>
  </w:style>
  <w:style w:type="character" w:styleId="42">
    <w:name w:val="endnote reference"/>
    <w:qFormat/>
    <w:uiPriority w:val="99"/>
    <w:rPr>
      <w:vertAlign w:val="superscript"/>
    </w:rPr>
  </w:style>
  <w:style w:type="character" w:styleId="43">
    <w:name w:val="page number"/>
    <w:qFormat/>
    <w:uiPriority w:val="0"/>
  </w:style>
  <w:style w:type="character" w:styleId="44">
    <w:name w:val="FollowedHyperlink"/>
    <w:unhideWhenUsed/>
    <w:qFormat/>
    <w:uiPriority w:val="99"/>
    <w:rPr>
      <w:color w:val="800080"/>
      <w:u w:val="single"/>
    </w:rPr>
  </w:style>
  <w:style w:type="character" w:styleId="45">
    <w:name w:val="Emphasis"/>
    <w:qFormat/>
    <w:uiPriority w:val="20"/>
    <w:rPr>
      <w:color w:val="CC0000"/>
    </w:rPr>
  </w:style>
  <w:style w:type="character" w:styleId="46">
    <w:name w:val="Hyperlink"/>
    <w:qFormat/>
    <w:uiPriority w:val="0"/>
    <w:rPr>
      <w:color w:val="0000FF"/>
      <w:u w:val="single"/>
    </w:rPr>
  </w:style>
  <w:style w:type="character" w:styleId="47">
    <w:name w:val="annotation reference"/>
    <w:unhideWhenUsed/>
    <w:qFormat/>
    <w:uiPriority w:val="99"/>
    <w:rPr>
      <w:sz w:val="21"/>
      <w:szCs w:val="21"/>
    </w:rPr>
  </w:style>
  <w:style w:type="character" w:styleId="48">
    <w:name w:val="HTML Cite"/>
    <w:unhideWhenUsed/>
    <w:qFormat/>
    <w:uiPriority w:val="0"/>
    <w:rPr>
      <w:color w:val="008000"/>
    </w:rPr>
  </w:style>
  <w:style w:type="character" w:styleId="49">
    <w:name w:val="footnote reference"/>
    <w:qFormat/>
    <w:uiPriority w:val="0"/>
    <w:rPr>
      <w:vertAlign w:val="superscript"/>
    </w:rPr>
  </w:style>
  <w:style w:type="paragraph" w:customStyle="1" w:styleId="50">
    <w:name w:val="xl96"/>
    <w:basedOn w:val="1"/>
    <w:qFormat/>
    <w:uiPriority w:val="0"/>
    <w:pPr>
      <w:widowControl/>
      <w:pBdr>
        <w:left w:val="single" w:color="000000" w:sz="4" w:space="0"/>
        <w:bottom w:val="single" w:color="000000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51">
    <w:name w:val="标题名（不入目录）"/>
    <w:basedOn w:val="1"/>
    <w:qFormat/>
    <w:uiPriority w:val="0"/>
    <w:pPr>
      <w:adjustRightInd w:val="0"/>
      <w:snapToGrid w:val="0"/>
      <w:spacing w:before="480" w:after="360"/>
      <w:jc w:val="center"/>
    </w:pPr>
    <w:rPr>
      <w:rFonts w:eastAsia="黑体"/>
      <w:kern w:val="0"/>
      <w:sz w:val="32"/>
    </w:rPr>
  </w:style>
  <w:style w:type="paragraph" w:customStyle="1" w:styleId="52">
    <w:name w:val="00表格下文字"/>
    <w:basedOn w:val="1"/>
    <w:qFormat/>
    <w:uiPriority w:val="0"/>
    <w:pPr>
      <w:spacing w:line="360" w:lineRule="exact"/>
    </w:pPr>
    <w:rPr>
      <w:szCs w:val="21"/>
    </w:rPr>
  </w:style>
  <w:style w:type="paragraph" w:customStyle="1" w:styleId="53">
    <w:name w:val="xl76"/>
    <w:basedOn w:val="1"/>
    <w:qFormat/>
    <w:uiPriority w:val="0"/>
    <w:pPr>
      <w:widowControl/>
      <w:pBdr>
        <w:top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54">
    <w:name w:val="题名页1"/>
    <w:qFormat/>
    <w:uiPriority w:val="0"/>
    <w:rPr>
      <w:rFonts w:ascii="Times New Roman" w:hAnsi="Times New Roman" w:eastAsia="楷体_GB2312"/>
      <w:spacing w:val="60"/>
      <w:sz w:val="84"/>
    </w:rPr>
  </w:style>
  <w:style w:type="paragraph" w:customStyle="1" w:styleId="55">
    <w:name w:val="xl88"/>
    <w:basedOn w:val="1"/>
    <w:qFormat/>
    <w:uiPriority w:val="0"/>
    <w:pPr>
      <w:widowControl/>
      <w:pBdr>
        <w:top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56">
    <w:name w:val="标题 1 字符"/>
    <w:link w:val="5"/>
    <w:qFormat/>
    <w:uiPriority w:val="1"/>
    <w:rPr>
      <w:rFonts w:ascii="Calibri" w:hAnsi="Calibri"/>
      <w:b/>
      <w:kern w:val="44"/>
      <w:sz w:val="44"/>
      <w:szCs w:val="22"/>
    </w:rPr>
  </w:style>
  <w:style w:type="character" w:customStyle="1" w:styleId="57">
    <w:name w:val="标题 4 字符1"/>
    <w:link w:val="8"/>
    <w:qFormat/>
    <w:uiPriority w:val="1"/>
    <w:rPr>
      <w:rFonts w:ascii="Arial" w:hAnsi="Arial" w:eastAsia="黑体"/>
      <w:b/>
      <w:bCs/>
      <w:kern w:val="2"/>
      <w:sz w:val="28"/>
      <w:szCs w:val="28"/>
    </w:rPr>
  </w:style>
  <w:style w:type="character" w:customStyle="1" w:styleId="58">
    <w:name w:val="apple-style-span"/>
    <w:qFormat/>
    <w:uiPriority w:val="99"/>
  </w:style>
  <w:style w:type="paragraph" w:customStyle="1" w:styleId="59">
    <w:name w:val="msolistparagraph"/>
    <w:basedOn w:val="1"/>
    <w:qFormat/>
    <w:uiPriority w:val="0"/>
    <w:pPr>
      <w:ind w:firstLine="420"/>
    </w:pPr>
    <w:rPr>
      <w:rFonts w:ascii="Calibri" w:hAnsi="Calibri"/>
      <w:szCs w:val="22"/>
    </w:rPr>
  </w:style>
  <w:style w:type="character" w:customStyle="1" w:styleId="60">
    <w:name w:val="Plain Text Char"/>
    <w:qFormat/>
    <w:locked/>
    <w:uiPriority w:val="99"/>
    <w:rPr>
      <w:rFonts w:ascii="宋体" w:hAnsi="Courier New" w:eastAsia="宋体"/>
      <w:sz w:val="21"/>
    </w:rPr>
  </w:style>
  <w:style w:type="paragraph" w:customStyle="1" w:styleId="61">
    <w:name w:val="xl87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table" w:customStyle="1" w:styleId="62">
    <w:name w:val="浅色底纹1"/>
    <w:basedOn w:val="38"/>
    <w:qFormat/>
    <w:uiPriority w:val="60"/>
    <w:rPr>
      <w:rFonts w:ascii="Calibri" w:hAnsi="Calibri"/>
      <w:color w:val="000000"/>
      <w:kern w:val="0"/>
      <w:sz w:val="20"/>
      <w:szCs w:val="20"/>
      <w:lang w:eastAsia="zh-CN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</w:style>
  <w:style w:type="character" w:customStyle="1" w:styleId="63">
    <w:name w:val="题名页-导师"/>
    <w:qFormat/>
    <w:uiPriority w:val="0"/>
  </w:style>
  <w:style w:type="paragraph" w:customStyle="1" w:styleId="64">
    <w:name w:val="Table Paragraph"/>
    <w:basedOn w:val="1"/>
    <w:qFormat/>
    <w:uiPriority w:val="1"/>
    <w:pPr>
      <w:autoSpaceDE w:val="0"/>
      <w:autoSpaceDN w:val="0"/>
      <w:jc w:val="left"/>
    </w:pPr>
    <w:rPr>
      <w:rFonts w:ascii="仿宋" w:hAnsi="仿宋" w:eastAsia="仿宋" w:cs="仿宋"/>
      <w:kern w:val="0"/>
      <w:sz w:val="22"/>
      <w:szCs w:val="22"/>
    </w:rPr>
  </w:style>
  <w:style w:type="table" w:customStyle="1" w:styleId="65">
    <w:name w:val="Table Normal"/>
    <w:unhideWhenUsed/>
    <w:qFormat/>
    <w:uiPriority w:val="0"/>
    <w:rPr>
      <w:rFonts w:ascii="Arial" w:hAnsi="Arial" w:cs="Arial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6">
    <w:name w:val="关键词"/>
    <w:qFormat/>
    <w:uiPriority w:val="0"/>
    <w:rPr>
      <w:rFonts w:ascii="Times New Roman" w:hAnsi="Times New Roman" w:eastAsia="宋体"/>
      <w:sz w:val="24"/>
    </w:rPr>
  </w:style>
  <w:style w:type="character" w:customStyle="1" w:styleId="67">
    <w:name w:val="页脚 字符1"/>
    <w:qFormat/>
    <w:uiPriority w:val="99"/>
    <w:rPr>
      <w:sz w:val="18"/>
      <w:szCs w:val="18"/>
    </w:rPr>
  </w:style>
  <w:style w:type="character" w:customStyle="1" w:styleId="68">
    <w:name w:val="正文文本缩进 2 字符"/>
    <w:link w:val="20"/>
    <w:qFormat/>
    <w:uiPriority w:val="0"/>
    <w:rPr>
      <w:kern w:val="2"/>
      <w:sz w:val="30"/>
      <w:szCs w:val="24"/>
    </w:rPr>
  </w:style>
  <w:style w:type="character" w:customStyle="1" w:styleId="69">
    <w:name w:val="正文文本缩进 2 Char1"/>
    <w:link w:val="70"/>
    <w:qFormat/>
    <w:uiPriority w:val="0"/>
    <w:rPr>
      <w:kern w:val="2"/>
      <w:sz w:val="21"/>
      <w:szCs w:val="24"/>
    </w:rPr>
  </w:style>
  <w:style w:type="paragraph" w:customStyle="1" w:styleId="70">
    <w:name w:val="正文文本缩进 21"/>
    <w:basedOn w:val="1"/>
    <w:link w:val="69"/>
    <w:qFormat/>
    <w:uiPriority w:val="0"/>
    <w:pPr>
      <w:spacing w:line="300" w:lineRule="auto"/>
      <w:ind w:firstLine="555"/>
    </w:pPr>
  </w:style>
  <w:style w:type="character" w:customStyle="1" w:styleId="71">
    <w:name w:val="日期 Char1"/>
    <w:link w:val="72"/>
    <w:qFormat/>
    <w:uiPriority w:val="99"/>
    <w:rPr>
      <w:kern w:val="2"/>
      <w:sz w:val="21"/>
      <w:szCs w:val="24"/>
    </w:rPr>
  </w:style>
  <w:style w:type="paragraph" w:customStyle="1" w:styleId="72">
    <w:name w:val="日期1"/>
    <w:basedOn w:val="1"/>
    <w:next w:val="1"/>
    <w:link w:val="71"/>
    <w:qFormat/>
    <w:uiPriority w:val="99"/>
    <w:pPr>
      <w:ind w:left="100" w:leftChars="2500"/>
    </w:pPr>
  </w:style>
  <w:style w:type="character" w:customStyle="1" w:styleId="73">
    <w:name w:val="正文文本 字符"/>
    <w:link w:val="13"/>
    <w:qFormat/>
    <w:uiPriority w:val="1"/>
    <w:rPr>
      <w:kern w:val="2"/>
      <w:sz w:val="21"/>
      <w:szCs w:val="24"/>
    </w:rPr>
  </w:style>
  <w:style w:type="paragraph" w:customStyle="1" w:styleId="74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cs="宋体" w:hAnsiTheme="minorHAnsi" w:eastAsiaTheme="minorEastAsia"/>
      <w:kern w:val="2"/>
      <w:sz w:val="22"/>
      <w:szCs w:val="22"/>
      <w:lang w:val="en-US" w:eastAsia="zh-CN" w:bidi="ar-SA"/>
    </w:rPr>
  </w:style>
  <w:style w:type="character" w:customStyle="1" w:styleId="75">
    <w:name w:val="题名页-大学名称"/>
    <w:qFormat/>
    <w:uiPriority w:val="0"/>
  </w:style>
  <w:style w:type="paragraph" w:customStyle="1" w:styleId="76">
    <w:name w:val="批注主题1"/>
    <w:basedOn w:val="12"/>
    <w:next w:val="12"/>
    <w:qFormat/>
    <w:uiPriority w:val="0"/>
    <w:rPr>
      <w:rFonts w:cs="黑体"/>
      <w:b/>
      <w:bCs/>
      <w:szCs w:val="24"/>
    </w:rPr>
  </w:style>
  <w:style w:type="paragraph" w:customStyle="1" w:styleId="77">
    <w:name w:val="标题名"/>
    <w:basedOn w:val="1"/>
    <w:qFormat/>
    <w:uiPriority w:val="0"/>
    <w:pPr>
      <w:adjustRightInd w:val="0"/>
      <w:snapToGrid w:val="0"/>
      <w:spacing w:before="480" w:after="360"/>
      <w:jc w:val="center"/>
      <w:outlineLvl w:val="0"/>
    </w:pPr>
    <w:rPr>
      <w:rFonts w:eastAsia="黑体"/>
      <w:sz w:val="32"/>
    </w:rPr>
  </w:style>
  <w:style w:type="character" w:customStyle="1" w:styleId="78">
    <w:name w:val="题名页-日期"/>
    <w:qFormat/>
    <w:uiPriority w:val="0"/>
  </w:style>
  <w:style w:type="character" w:customStyle="1" w:styleId="79">
    <w:name w:val="标题2 字符"/>
    <w:link w:val="80"/>
    <w:qFormat/>
    <w:uiPriority w:val="0"/>
    <w:rPr>
      <w:rFonts w:ascii="黑体" w:hAnsi="黑体" w:eastAsia="黑体"/>
      <w:b/>
      <w:color w:val="000000"/>
      <w:kern w:val="2"/>
      <w:sz w:val="24"/>
      <w:szCs w:val="28"/>
    </w:rPr>
  </w:style>
  <w:style w:type="paragraph" w:customStyle="1" w:styleId="80">
    <w:name w:val="标题2"/>
    <w:basedOn w:val="6"/>
    <w:link w:val="79"/>
    <w:qFormat/>
    <w:uiPriority w:val="0"/>
    <w:pPr>
      <w:spacing w:line="360" w:lineRule="auto"/>
    </w:pPr>
    <w:rPr>
      <w:rFonts w:ascii="黑体" w:hAnsi="黑体"/>
      <w:bCs w:val="0"/>
      <w:color w:val="000000"/>
      <w:sz w:val="24"/>
      <w:szCs w:val="28"/>
    </w:rPr>
  </w:style>
  <w:style w:type="paragraph" w:customStyle="1" w:styleId="81">
    <w:name w:val="无间隔1"/>
    <w:link w:val="227"/>
    <w:qFormat/>
    <w:uiPriority w:val="99"/>
    <w:rPr>
      <w:rFonts w:ascii="Calibri" w:hAnsi="Calibri" w:eastAsiaTheme="minorEastAsia" w:cstheme="minorBidi"/>
      <w:kern w:val="2"/>
      <w:sz w:val="22"/>
      <w:szCs w:val="22"/>
      <w:lang w:val="en-US" w:eastAsia="zh-CN" w:bidi="ar-SA"/>
    </w:rPr>
  </w:style>
  <w:style w:type="paragraph" w:customStyle="1" w:styleId="82">
    <w:name w:val="注："/>
    <w:next w:val="74"/>
    <w:qFormat/>
    <w:uiPriority w:val="0"/>
    <w:pPr>
      <w:widowControl w:val="0"/>
      <w:tabs>
        <w:tab w:val="left" w:pos="360"/>
      </w:tabs>
      <w:autoSpaceDE w:val="0"/>
      <w:autoSpaceDN w:val="0"/>
      <w:jc w:val="both"/>
    </w:pPr>
    <w:rPr>
      <w:rFonts w:ascii="宋体" w:hAnsiTheme="minorHAnsi" w:eastAsiaTheme="minorEastAsia" w:cstheme="minorBidi"/>
      <w:kern w:val="2"/>
      <w:sz w:val="18"/>
      <w:szCs w:val="24"/>
      <w:lang w:val="en-US" w:eastAsia="zh-CN" w:bidi="ar-SA"/>
    </w:rPr>
  </w:style>
  <w:style w:type="paragraph" w:customStyle="1" w:styleId="83">
    <w:name w:val="Char Char Char Char1"/>
    <w:basedOn w:val="1"/>
    <w:semiHidden/>
    <w:qFormat/>
    <w:uiPriority w:val="0"/>
    <w:pPr>
      <w:widowControl/>
      <w:spacing w:beforeLines="50"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84">
    <w:name w:val="xl97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85">
    <w:name w:val="封面-论文英文题目"/>
    <w:qFormat/>
    <w:uiPriority w:val="0"/>
    <w:rPr>
      <w:rFonts w:ascii="Times New Roman" w:hAnsi="Times New Roman" w:eastAsia="宋体"/>
      <w:sz w:val="36"/>
    </w:rPr>
  </w:style>
  <w:style w:type="paragraph" w:customStyle="1" w:styleId="86">
    <w:name w:val="示例"/>
    <w:next w:val="74"/>
    <w:qFormat/>
    <w:uiPriority w:val="0"/>
    <w:pPr>
      <w:tabs>
        <w:tab w:val="left" w:pos="360"/>
        <w:tab w:val="left" w:pos="816"/>
      </w:tabs>
      <w:ind w:firstLine="419" w:firstLineChars="233"/>
      <w:jc w:val="both"/>
    </w:pPr>
    <w:rPr>
      <w:rFonts w:ascii="宋体" w:hAnsiTheme="minorHAnsi" w:eastAsiaTheme="minorEastAsia" w:cstheme="minorBidi"/>
      <w:kern w:val="2"/>
      <w:sz w:val="18"/>
      <w:szCs w:val="24"/>
      <w:lang w:val="en-US" w:eastAsia="zh-CN" w:bidi="ar-SA"/>
    </w:rPr>
  </w:style>
  <w:style w:type="character" w:customStyle="1" w:styleId="87">
    <w:name w:val="封面-大学名称"/>
    <w:qFormat/>
    <w:uiPriority w:val="0"/>
    <w:rPr>
      <w:rFonts w:ascii="Times New Roman" w:hAnsi="Times New Roman" w:eastAsia="楷体_GB2312"/>
      <w:spacing w:val="60"/>
      <w:kern w:val="84"/>
      <w:sz w:val="84"/>
    </w:rPr>
  </w:style>
  <w:style w:type="character" w:styleId="88">
    <w:name w:val="Placeholder Text"/>
    <w:semiHidden/>
    <w:qFormat/>
    <w:uiPriority w:val="99"/>
    <w:rPr>
      <w:color w:val="808080"/>
    </w:rPr>
  </w:style>
  <w:style w:type="character" w:customStyle="1" w:styleId="89">
    <w:name w:val="封面1"/>
    <w:qFormat/>
    <w:uiPriority w:val="0"/>
    <w:rPr>
      <w:rFonts w:ascii="Times New Roman" w:hAnsi="Times New Roman" w:eastAsia="楷体_GB2312"/>
      <w:spacing w:val="60"/>
      <w:kern w:val="84"/>
      <w:sz w:val="84"/>
    </w:rPr>
  </w:style>
  <w:style w:type="character" w:customStyle="1" w:styleId="90">
    <w:name w:val="题名页-密级"/>
    <w:qFormat/>
    <w:uiPriority w:val="0"/>
  </w:style>
  <w:style w:type="character" w:customStyle="1" w:styleId="91">
    <w:name w:val="批注引用1"/>
    <w:qFormat/>
    <w:uiPriority w:val="0"/>
    <w:rPr>
      <w:sz w:val="21"/>
      <w:szCs w:val="21"/>
    </w:rPr>
  </w:style>
  <w:style w:type="character" w:customStyle="1" w:styleId="92">
    <w:name w:val="脚注文本 Char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3">
    <w:name w:val="题名页-职称"/>
    <w:qFormat/>
    <w:uiPriority w:val="0"/>
  </w:style>
  <w:style w:type="character" w:customStyle="1" w:styleId="94">
    <w:name w:val="尾注文本 字符"/>
    <w:link w:val="21"/>
    <w:qFormat/>
    <w:uiPriority w:val="99"/>
    <w:rPr>
      <w:kern w:val="2"/>
      <w:sz w:val="28"/>
      <w:szCs w:val="24"/>
    </w:rPr>
  </w:style>
  <w:style w:type="paragraph" w:customStyle="1" w:styleId="95">
    <w:name w:val="列表段落1"/>
    <w:basedOn w:val="1"/>
    <w:qFormat/>
    <w:uiPriority w:val="1"/>
    <w:pPr>
      <w:autoSpaceDE w:val="0"/>
      <w:autoSpaceDN w:val="0"/>
      <w:ind w:left="220" w:firstLine="640"/>
      <w:jc w:val="left"/>
    </w:pPr>
    <w:rPr>
      <w:rFonts w:ascii="仿宋" w:hAnsi="仿宋" w:eastAsia="仿宋" w:cs="仿宋"/>
      <w:kern w:val="0"/>
      <w:sz w:val="22"/>
      <w:szCs w:val="22"/>
    </w:rPr>
  </w:style>
  <w:style w:type="character" w:customStyle="1" w:styleId="96">
    <w:name w:val="批注文字 字符"/>
    <w:qFormat/>
    <w:uiPriority w:val="99"/>
    <w:rPr>
      <w:kern w:val="2"/>
      <w:sz w:val="21"/>
      <w:szCs w:val="24"/>
    </w:rPr>
  </w:style>
  <w:style w:type="paragraph" w:customStyle="1" w:styleId="97">
    <w:name w:val="修订1"/>
    <w:qFormat/>
    <w:uiPriority w:val="99"/>
    <w:rPr>
      <w:rFonts w:ascii="Calibri" w:hAnsi="Calibri" w:cs="黑体" w:eastAsiaTheme="minorEastAsia"/>
      <w:kern w:val="2"/>
      <w:sz w:val="21"/>
      <w:szCs w:val="24"/>
      <w:lang w:val="en-US" w:eastAsia="zh-CN" w:bidi="ar-SA"/>
    </w:rPr>
  </w:style>
  <w:style w:type="paragraph" w:customStyle="1" w:styleId="98">
    <w:name w:val="xl91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99">
    <w:name w:val="xl75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100">
    <w:name w:val="p0"/>
    <w:basedOn w:val="1"/>
    <w:qFormat/>
    <w:uiPriority w:val="0"/>
    <w:pPr>
      <w:widowControl/>
    </w:pPr>
    <w:rPr>
      <w:rFonts w:cs="宋体"/>
      <w:kern w:val="0"/>
      <w:sz w:val="32"/>
      <w:szCs w:val="32"/>
    </w:rPr>
  </w:style>
  <w:style w:type="character" w:customStyle="1" w:styleId="101">
    <w:name w:val="文档结构图 字符1"/>
    <w:link w:val="11"/>
    <w:qFormat/>
    <w:uiPriority w:val="0"/>
    <w:rPr>
      <w:rFonts w:ascii="宋体" w:hAnsi="Calibri"/>
      <w:kern w:val="2"/>
      <w:sz w:val="18"/>
      <w:szCs w:val="18"/>
    </w:rPr>
  </w:style>
  <w:style w:type="character" w:customStyle="1" w:styleId="102">
    <w:name w:val="未处理的提及1"/>
    <w:unhideWhenUsed/>
    <w:qFormat/>
    <w:uiPriority w:val="99"/>
    <w:rPr>
      <w:color w:val="605E5C"/>
      <w:shd w:val="clear" w:color="auto" w:fill="E1DFDD"/>
    </w:rPr>
  </w:style>
  <w:style w:type="paragraph" w:customStyle="1" w:styleId="103">
    <w:name w:val="TOC Heading"/>
    <w:basedOn w:val="5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character" w:customStyle="1" w:styleId="104">
    <w:name w:val="headline-content2"/>
    <w:qFormat/>
    <w:uiPriority w:val="0"/>
  </w:style>
  <w:style w:type="character" w:customStyle="1" w:styleId="105">
    <w:name w:val="批注主题 字符"/>
    <w:qFormat/>
    <w:uiPriority w:val="99"/>
    <w:rPr>
      <w:b/>
      <w:bCs/>
      <w:kern w:val="2"/>
      <w:sz w:val="21"/>
      <w:szCs w:val="24"/>
    </w:rPr>
  </w:style>
  <w:style w:type="paragraph" w:customStyle="1" w:styleId="106">
    <w:name w:val="xl71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107">
    <w:name w:val="1级标题"/>
    <w:basedOn w:val="1"/>
    <w:qFormat/>
    <w:uiPriority w:val="0"/>
    <w:pPr>
      <w:numPr>
        <w:ilvl w:val="0"/>
        <w:numId w:val="1"/>
      </w:numPr>
      <w:tabs>
        <w:tab w:val="left" w:pos="240"/>
      </w:tabs>
      <w:adjustRightInd w:val="0"/>
      <w:snapToGrid w:val="0"/>
      <w:spacing w:before="480" w:after="360"/>
      <w:jc w:val="left"/>
      <w:outlineLvl w:val="0"/>
    </w:pPr>
    <w:rPr>
      <w:rFonts w:eastAsia="黑体"/>
      <w:sz w:val="32"/>
    </w:rPr>
  </w:style>
  <w:style w:type="paragraph" w:customStyle="1" w:styleId="108">
    <w:name w:val="xl101"/>
    <w:basedOn w:val="1"/>
    <w:qFormat/>
    <w:uiPriority w:val="0"/>
    <w:pPr>
      <w:widowControl/>
      <w:pBdr>
        <w:left w:val="single" w:color="000000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109">
    <w:name w:val="正文文本缩进 Char2"/>
    <w:link w:val="110"/>
    <w:qFormat/>
    <w:uiPriority w:val="0"/>
    <w:rPr>
      <w:rFonts w:ascii="仿宋_GB2312" w:eastAsia="仿宋_GB2312" w:cs="黑体"/>
      <w:kern w:val="2"/>
      <w:sz w:val="28"/>
      <w:szCs w:val="24"/>
    </w:rPr>
  </w:style>
  <w:style w:type="paragraph" w:customStyle="1" w:styleId="110">
    <w:name w:val="正文文本缩进11"/>
    <w:basedOn w:val="1"/>
    <w:link w:val="109"/>
    <w:qFormat/>
    <w:uiPriority w:val="0"/>
    <w:pPr>
      <w:widowControl/>
      <w:spacing w:before="100" w:beforeAutospacing="1" w:after="100" w:afterAutospacing="1" w:line="360" w:lineRule="auto"/>
      <w:ind w:firstLine="200" w:firstLineChars="200"/>
    </w:pPr>
    <w:rPr>
      <w:rFonts w:ascii="仿宋_GB2312" w:eastAsia="仿宋_GB2312" w:cs="黑体"/>
      <w:sz w:val="28"/>
    </w:rPr>
  </w:style>
  <w:style w:type="paragraph" w:customStyle="1" w:styleId="111">
    <w:name w:val="TOC 标题1"/>
    <w:basedOn w:val="5"/>
    <w:next w:val="1"/>
    <w:qFormat/>
    <w:uiPriority w:val="0"/>
    <w:pPr>
      <w:widowControl/>
      <w:spacing w:before="480" w:after="0" w:line="276" w:lineRule="auto"/>
      <w:jc w:val="left"/>
      <w:outlineLvl w:val="9"/>
    </w:pPr>
    <w:rPr>
      <w:rFonts w:ascii="Calibri Light" w:hAnsi="Calibri Light" w:cs="黑体"/>
      <w:bCs/>
      <w:color w:val="2D73B3"/>
      <w:kern w:val="0"/>
      <w:sz w:val="28"/>
      <w:szCs w:val="28"/>
    </w:rPr>
  </w:style>
  <w:style w:type="character" w:customStyle="1" w:styleId="112">
    <w:name w:val="批注文字 字符2"/>
    <w:link w:val="12"/>
    <w:qFormat/>
    <w:uiPriority w:val="0"/>
    <w:rPr>
      <w:rFonts w:ascii="Calibri" w:hAnsi="Calibri"/>
      <w:kern w:val="2"/>
      <w:sz w:val="21"/>
      <w:szCs w:val="22"/>
    </w:rPr>
  </w:style>
  <w:style w:type="character" w:customStyle="1" w:styleId="113">
    <w:name w:val="font3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14">
    <w:name w:val="正文文本缩进 Char1"/>
    <w:qFormat/>
    <w:uiPriority w:val="0"/>
    <w:rPr>
      <w:kern w:val="2"/>
      <w:sz w:val="21"/>
      <w:szCs w:val="24"/>
    </w:rPr>
  </w:style>
  <w:style w:type="paragraph" w:customStyle="1" w:styleId="115">
    <w:name w:val="数字编号列项（二级）"/>
    <w:qFormat/>
    <w:uiPriority w:val="99"/>
    <w:pPr>
      <w:jc w:val="both"/>
    </w:pPr>
    <w:rPr>
      <w:rFonts w:ascii="宋体" w:cs="宋体" w:hAnsiTheme="minorHAnsi" w:eastAsiaTheme="minorEastAsia"/>
      <w:kern w:val="2"/>
      <w:sz w:val="21"/>
      <w:szCs w:val="21"/>
      <w:lang w:val="en-US" w:eastAsia="zh-CN" w:bidi="ar-SA"/>
    </w:rPr>
  </w:style>
  <w:style w:type="character" w:customStyle="1" w:styleId="116">
    <w:name w:val="c-icon13"/>
    <w:qFormat/>
    <w:uiPriority w:val="0"/>
  </w:style>
  <w:style w:type="paragraph" w:customStyle="1" w:styleId="117">
    <w:name w:val="Revision"/>
    <w:semiHidden/>
    <w:qFormat/>
    <w:uiPriority w:val="99"/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8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119">
    <w:name w:val="批注引用2"/>
    <w:qFormat/>
    <w:uiPriority w:val="0"/>
    <w:rPr>
      <w:sz w:val="21"/>
      <w:szCs w:val="21"/>
    </w:rPr>
  </w:style>
  <w:style w:type="paragraph" w:customStyle="1" w:styleId="120">
    <w:name w:val="日程表标题"/>
    <w:basedOn w:val="1"/>
    <w:qFormat/>
    <w:uiPriority w:val="0"/>
    <w:pPr>
      <w:spacing w:before="100" w:beforeAutospacing="1" w:after="240"/>
      <w:jc w:val="center"/>
    </w:pPr>
    <w:rPr>
      <w:rFonts w:ascii="华文新魏" w:eastAsia="华文新魏" w:cs="宋体"/>
      <w:b/>
      <w:bCs/>
      <w:spacing w:val="60"/>
      <w:sz w:val="52"/>
    </w:rPr>
  </w:style>
  <w:style w:type="character" w:customStyle="1" w:styleId="121">
    <w:name w:val="标题 2 Char"/>
    <w:qFormat/>
    <w:uiPriority w:val="0"/>
    <w:rPr>
      <w:rFonts w:ascii="Arial" w:hAnsi="Arial" w:eastAsia="黑体"/>
      <w:b/>
      <w:kern w:val="2"/>
      <w:sz w:val="32"/>
      <w:szCs w:val="24"/>
    </w:rPr>
  </w:style>
  <w:style w:type="character" w:customStyle="1" w:styleId="122">
    <w:name w:val="页脚 Char1"/>
    <w:qFormat/>
    <w:uiPriority w:val="99"/>
    <w:rPr>
      <w:sz w:val="18"/>
      <w:szCs w:val="18"/>
    </w:rPr>
  </w:style>
  <w:style w:type="paragraph" w:customStyle="1" w:styleId="123">
    <w:name w:val="正文文本缩进1"/>
    <w:basedOn w:val="1"/>
    <w:qFormat/>
    <w:uiPriority w:val="0"/>
    <w:pPr>
      <w:widowControl/>
      <w:spacing w:before="100" w:beforeAutospacing="1" w:after="100" w:afterAutospacing="1" w:line="360" w:lineRule="auto"/>
      <w:ind w:firstLine="200" w:firstLineChars="200"/>
    </w:pPr>
    <w:rPr>
      <w:rFonts w:ascii="仿宋_GB2312" w:hAnsi="Calibri" w:eastAsia="仿宋_GB2312" w:cs="黑体"/>
      <w:sz w:val="28"/>
    </w:rPr>
  </w:style>
  <w:style w:type="character" w:customStyle="1" w:styleId="124">
    <w:name w:val="Balloon Text Char"/>
    <w:qFormat/>
    <w:locked/>
    <w:uiPriority w:val="99"/>
    <w:rPr>
      <w:rFonts w:ascii="Calibri" w:hAnsi="Calibri" w:eastAsia="宋体"/>
      <w:sz w:val="18"/>
    </w:rPr>
  </w:style>
  <w:style w:type="character" w:customStyle="1" w:styleId="125">
    <w:name w:val="font11"/>
    <w:qFormat/>
    <w:uiPriority w:val="0"/>
    <w:rPr>
      <w:rFonts w:hint="default" w:ascii="Calibri" w:hAnsi="Calibri" w:cs="Calibri"/>
      <w:color w:val="333333"/>
      <w:sz w:val="20"/>
      <w:szCs w:val="20"/>
      <w:u w:val="none"/>
    </w:rPr>
  </w:style>
  <w:style w:type="character" w:customStyle="1" w:styleId="126">
    <w:name w:val="页眉 字符1"/>
    <w:link w:val="24"/>
    <w:qFormat/>
    <w:uiPriority w:val="0"/>
    <w:rPr>
      <w:kern w:val="2"/>
      <w:sz w:val="18"/>
      <w:szCs w:val="18"/>
    </w:rPr>
  </w:style>
  <w:style w:type="character" w:customStyle="1" w:styleId="127">
    <w:name w:val="批注文字 字符1"/>
    <w:qFormat/>
    <w:uiPriority w:val="0"/>
    <w:rPr>
      <w:rFonts w:ascii="Times New Roman" w:hAnsi="Times New Roman" w:eastAsia="宋体" w:cs="Times New Roman"/>
      <w:kern w:val="0"/>
      <w:sz w:val="20"/>
      <w:szCs w:val="20"/>
    </w:rPr>
  </w:style>
  <w:style w:type="character" w:customStyle="1" w:styleId="128">
    <w:name w:val="题名页5"/>
    <w:qFormat/>
    <w:uiPriority w:val="0"/>
    <w:rPr>
      <w:rFonts w:ascii="Times New Roman" w:hAnsi="Times New Roman" w:eastAsia="宋体"/>
      <w:sz w:val="21"/>
    </w:rPr>
  </w:style>
  <w:style w:type="character" w:customStyle="1" w:styleId="129">
    <w:name w:val="批注框文本 Char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0">
    <w:name w:val="题名页-UDC"/>
    <w:qFormat/>
    <w:uiPriority w:val="0"/>
  </w:style>
  <w:style w:type="paragraph" w:customStyle="1" w:styleId="131">
    <w:name w:val="3级标题"/>
    <w:basedOn w:val="1"/>
    <w:qFormat/>
    <w:uiPriority w:val="0"/>
    <w:pPr>
      <w:numPr>
        <w:ilvl w:val="2"/>
        <w:numId w:val="1"/>
      </w:numPr>
      <w:tabs>
        <w:tab w:val="left" w:pos="240"/>
        <w:tab w:val="left" w:pos="1560"/>
      </w:tabs>
      <w:adjustRightInd w:val="0"/>
      <w:snapToGrid w:val="0"/>
      <w:spacing w:before="480" w:after="360"/>
      <w:jc w:val="left"/>
      <w:outlineLvl w:val="2"/>
    </w:pPr>
    <w:rPr>
      <w:rFonts w:eastAsia="黑体"/>
      <w:sz w:val="28"/>
    </w:rPr>
  </w:style>
  <w:style w:type="table" w:customStyle="1" w:styleId="132">
    <w:name w:val="网格型1"/>
    <w:basedOn w:val="38"/>
    <w:qFormat/>
    <w:uiPriority w:val="0"/>
    <w:pPr>
      <w:widowControl w:val="0"/>
      <w:jc w:val="both"/>
    </w:pPr>
    <w:rPr>
      <w:rFonts w:ascii="Calibri" w:hAnsi="Calibri" w:eastAsia="微软雅黑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3">
    <w:name w:val="xl9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黑体" w:hAnsi="黑体" w:eastAsia="黑体" w:cs="宋体"/>
      <w:kern w:val="0"/>
      <w:sz w:val="24"/>
    </w:rPr>
  </w:style>
  <w:style w:type="character" w:customStyle="1" w:styleId="134">
    <w:name w:val="题名页-研究方向"/>
    <w:qFormat/>
    <w:uiPriority w:val="0"/>
  </w:style>
  <w:style w:type="character" w:customStyle="1" w:styleId="135">
    <w:name w:val="题名页-培养单位"/>
    <w:qFormat/>
    <w:uiPriority w:val="0"/>
  </w:style>
  <w:style w:type="character" w:customStyle="1" w:styleId="136">
    <w:name w:val="批注引用3"/>
    <w:qFormat/>
    <w:uiPriority w:val="0"/>
    <w:rPr>
      <w:sz w:val="21"/>
      <w:szCs w:val="21"/>
    </w:rPr>
  </w:style>
  <w:style w:type="character" w:customStyle="1" w:styleId="137">
    <w:name w:val="批注框文本 字符"/>
    <w:semiHidden/>
    <w:qFormat/>
    <w:uiPriority w:val="99"/>
    <w:rPr>
      <w:kern w:val="2"/>
      <w:sz w:val="18"/>
      <w:szCs w:val="18"/>
    </w:rPr>
  </w:style>
  <w:style w:type="paragraph" w:customStyle="1" w:styleId="138">
    <w:name w:val="目次项"/>
    <w:basedOn w:val="1"/>
    <w:qFormat/>
    <w:uiPriority w:val="0"/>
    <w:pPr>
      <w:adjustRightInd w:val="0"/>
      <w:snapToGrid w:val="0"/>
      <w:spacing w:before="120"/>
    </w:pPr>
    <w:rPr>
      <w:sz w:val="24"/>
    </w:rPr>
  </w:style>
  <w:style w:type="character" w:customStyle="1" w:styleId="139">
    <w:name w:val="副标题 Char1"/>
    <w:qFormat/>
    <w:uiPriority w:val="11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140">
    <w:name w:val="00 加粗小标题"/>
    <w:basedOn w:val="1"/>
    <w:qFormat/>
    <w:uiPriority w:val="0"/>
    <w:pPr>
      <w:spacing w:beforeLines="50" w:line="420" w:lineRule="exact"/>
      <w:outlineLvl w:val="2"/>
    </w:pPr>
    <w:rPr>
      <w:b/>
      <w:sz w:val="24"/>
    </w:rPr>
  </w:style>
  <w:style w:type="character" w:customStyle="1" w:styleId="141">
    <w:name w:val="文档结构图 Char1"/>
    <w:link w:val="142"/>
    <w:qFormat/>
    <w:uiPriority w:val="0"/>
    <w:rPr>
      <w:rFonts w:ascii="宋体"/>
      <w:kern w:val="2"/>
      <w:sz w:val="18"/>
      <w:szCs w:val="18"/>
      <w:shd w:val="clear" w:color="auto" w:fill="000080"/>
    </w:rPr>
  </w:style>
  <w:style w:type="paragraph" w:customStyle="1" w:styleId="142">
    <w:name w:val="文档结构图1"/>
    <w:basedOn w:val="1"/>
    <w:link w:val="141"/>
    <w:qFormat/>
    <w:uiPriority w:val="0"/>
    <w:pPr>
      <w:shd w:val="clear" w:color="auto" w:fill="000080"/>
    </w:pPr>
    <w:rPr>
      <w:rFonts w:ascii="宋体"/>
      <w:sz w:val="18"/>
      <w:szCs w:val="18"/>
    </w:rPr>
  </w:style>
  <w:style w:type="paragraph" w:customStyle="1" w:styleId="143">
    <w:name w:val="00 表格标题"/>
    <w:basedOn w:val="1"/>
    <w:qFormat/>
    <w:uiPriority w:val="0"/>
    <w:pPr>
      <w:spacing w:beforeLines="100"/>
      <w:ind w:firstLine="420" w:firstLineChars="200"/>
      <w:jc w:val="center"/>
    </w:pPr>
    <w:rPr>
      <w:rFonts w:eastAsia="黑体"/>
      <w:szCs w:val="20"/>
    </w:rPr>
  </w:style>
  <w:style w:type="character" w:customStyle="1" w:styleId="144">
    <w:name w:val="题名页4"/>
    <w:qFormat/>
    <w:uiPriority w:val="0"/>
    <w:rPr>
      <w:rFonts w:ascii="Times New Roman" w:hAnsi="Times New Roman" w:eastAsia="宋体"/>
      <w:sz w:val="28"/>
    </w:rPr>
  </w:style>
  <w:style w:type="paragraph" w:customStyle="1" w:styleId="145">
    <w:name w:val="xl99"/>
    <w:basedOn w:val="1"/>
    <w:qFormat/>
    <w:uiPriority w:val="0"/>
    <w:pPr>
      <w:widowControl/>
      <w:pBdr>
        <w:top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146">
    <w:name w:val="英文关键词"/>
    <w:qFormat/>
    <w:uiPriority w:val="0"/>
    <w:rPr>
      <w:rFonts w:ascii="Times New Roman" w:hAnsi="Times New Roman" w:eastAsia="宋体"/>
      <w:sz w:val="24"/>
    </w:rPr>
  </w:style>
  <w:style w:type="paragraph" w:customStyle="1" w:styleId="147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48">
    <w:name w:val="页眉 Char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9">
    <w:name w:val="正文文本缩进 3 字符1"/>
    <w:link w:val="31"/>
    <w:qFormat/>
    <w:uiPriority w:val="0"/>
    <w:rPr>
      <w:kern w:val="2"/>
      <w:sz w:val="16"/>
      <w:szCs w:val="16"/>
    </w:rPr>
  </w:style>
  <w:style w:type="character" w:customStyle="1" w:styleId="150">
    <w:name w:val="批注主题 字符1"/>
    <w:link w:val="37"/>
    <w:qFormat/>
    <w:uiPriority w:val="0"/>
    <w:rPr>
      <w:rFonts w:ascii="Calibri" w:hAnsi="Calibri"/>
      <w:b/>
      <w:bCs/>
      <w:kern w:val="2"/>
      <w:sz w:val="21"/>
      <w:szCs w:val="22"/>
    </w:rPr>
  </w:style>
  <w:style w:type="character" w:customStyle="1" w:styleId="151">
    <w:name w:val="题名页-论文英文题目"/>
    <w:qFormat/>
    <w:uiPriority w:val="0"/>
  </w:style>
  <w:style w:type="paragraph" w:customStyle="1" w:styleId="152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53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kern w:val="2"/>
      <w:sz w:val="24"/>
      <w:szCs w:val="24"/>
      <w:lang w:val="en-US" w:eastAsia="zh-CN" w:bidi="ar-SA"/>
    </w:rPr>
  </w:style>
  <w:style w:type="paragraph" w:customStyle="1" w:styleId="154">
    <w:name w:val="正文文本缩进 31"/>
    <w:basedOn w:val="1"/>
    <w:link w:val="196"/>
    <w:qFormat/>
    <w:uiPriority w:val="0"/>
    <w:pPr>
      <w:adjustRightInd w:val="0"/>
      <w:ind w:firstLine="12"/>
    </w:pPr>
    <w:rPr>
      <w:sz w:val="16"/>
      <w:szCs w:val="16"/>
    </w:rPr>
  </w:style>
  <w:style w:type="paragraph" w:customStyle="1" w:styleId="155">
    <w:name w:val="2级标题"/>
    <w:basedOn w:val="1"/>
    <w:qFormat/>
    <w:uiPriority w:val="0"/>
    <w:pPr>
      <w:numPr>
        <w:ilvl w:val="1"/>
        <w:numId w:val="1"/>
      </w:numPr>
      <w:tabs>
        <w:tab w:val="left" w:pos="240"/>
      </w:tabs>
      <w:adjustRightInd w:val="0"/>
      <w:snapToGrid w:val="0"/>
      <w:spacing w:before="480" w:after="360"/>
      <w:jc w:val="left"/>
      <w:outlineLvl w:val="1"/>
    </w:pPr>
    <w:rPr>
      <w:rFonts w:eastAsia="黑体"/>
      <w:sz w:val="30"/>
    </w:rPr>
  </w:style>
  <w:style w:type="paragraph" w:customStyle="1" w:styleId="156">
    <w:name w:val="样式"/>
    <w:qFormat/>
    <w:uiPriority w:val="0"/>
    <w:pPr>
      <w:widowControl w:val="0"/>
      <w:autoSpaceDE w:val="0"/>
      <w:autoSpaceDN w:val="0"/>
      <w:adjustRightInd w:val="0"/>
    </w:pPr>
    <w:rPr>
      <w:rFonts w:ascii="宋体" w:hAnsi="Calibri" w:cs="宋体" w:eastAsiaTheme="minorEastAsia"/>
      <w:kern w:val="2"/>
      <w:sz w:val="24"/>
      <w:szCs w:val="24"/>
      <w:lang w:val="en-US" w:eastAsia="zh-CN" w:bidi="ar-SA"/>
    </w:rPr>
  </w:style>
  <w:style w:type="character" w:customStyle="1" w:styleId="157">
    <w:name w:val="页眉 字符"/>
    <w:semiHidden/>
    <w:qFormat/>
    <w:uiPriority w:val="99"/>
    <w:rPr>
      <w:kern w:val="2"/>
      <w:sz w:val="18"/>
      <w:szCs w:val="18"/>
    </w:rPr>
  </w:style>
  <w:style w:type="paragraph" w:customStyle="1" w:styleId="158">
    <w:name w:val="图题"/>
    <w:basedOn w:val="159"/>
    <w:qFormat/>
    <w:uiPriority w:val="0"/>
  </w:style>
  <w:style w:type="paragraph" w:customStyle="1" w:styleId="159">
    <w:name w:val="图表题"/>
    <w:basedOn w:val="1"/>
    <w:qFormat/>
    <w:uiPriority w:val="0"/>
    <w:pPr>
      <w:adjustRightInd w:val="0"/>
      <w:snapToGrid w:val="0"/>
      <w:spacing w:line="400" w:lineRule="exact"/>
      <w:jc w:val="center"/>
    </w:pPr>
  </w:style>
  <w:style w:type="character" w:customStyle="1" w:styleId="160">
    <w:name w:val="题名页3"/>
    <w:qFormat/>
    <w:uiPriority w:val="0"/>
    <w:rPr>
      <w:rFonts w:ascii="Times New Roman" w:hAnsi="Times New Roman" w:eastAsia="宋体"/>
      <w:sz w:val="30"/>
    </w:rPr>
  </w:style>
  <w:style w:type="character" w:customStyle="1" w:styleId="161">
    <w:name w:val="题名页-中图分类号"/>
    <w:qFormat/>
    <w:uiPriority w:val="0"/>
  </w:style>
  <w:style w:type="paragraph" w:customStyle="1" w:styleId="162">
    <w:name w:val="xl86"/>
    <w:basedOn w:val="1"/>
    <w:qFormat/>
    <w:uiPriority w:val="0"/>
    <w:pPr>
      <w:widowControl/>
      <w:pBdr>
        <w:top w:val="single" w:color="000000" w:sz="4" w:space="0"/>
        <w:left w:val="single" w:color="000000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163">
    <w:name w:val="题名页-作者"/>
    <w:qFormat/>
    <w:uiPriority w:val="0"/>
  </w:style>
  <w:style w:type="paragraph" w:customStyle="1" w:styleId="164">
    <w:name w:val="xl72"/>
    <w:basedOn w:val="1"/>
    <w:qFormat/>
    <w:uiPriority w:val="0"/>
    <w:pPr>
      <w:widowControl/>
      <w:pBdr>
        <w:top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165">
    <w:name w:val="font5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66">
    <w:name w:val="尾注文本 Char1"/>
    <w:qFormat/>
    <w:uiPriority w:val="99"/>
    <w:rPr>
      <w:kern w:val="2"/>
      <w:sz w:val="21"/>
      <w:szCs w:val="24"/>
    </w:rPr>
  </w:style>
  <w:style w:type="table" w:customStyle="1" w:styleId="167">
    <w:name w:val="网格型3"/>
    <w:basedOn w:val="38"/>
    <w:qFormat/>
    <w:uiPriority w:val="39"/>
    <w:rPr>
      <w:rFonts w:ascii="Calibri" w:hAnsi="Calibri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68">
    <w:name w:val="修订2"/>
    <w:semiHidden/>
    <w:qFormat/>
    <w:uiPriority w:val="99"/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69">
    <w:name w:val="正文文本缩进 字符"/>
    <w:semiHidden/>
    <w:qFormat/>
    <w:uiPriority w:val="99"/>
    <w:rPr>
      <w:kern w:val="2"/>
      <w:sz w:val="21"/>
      <w:szCs w:val="22"/>
    </w:rPr>
  </w:style>
  <w:style w:type="character" w:customStyle="1" w:styleId="170">
    <w:name w:val="未处理的提及2"/>
    <w:unhideWhenUsed/>
    <w:qFormat/>
    <w:uiPriority w:val="99"/>
    <w:rPr>
      <w:color w:val="605E5C"/>
      <w:shd w:val="clear" w:color="auto" w:fill="E1DFDD"/>
    </w:rPr>
  </w:style>
  <w:style w:type="character" w:customStyle="1" w:styleId="171">
    <w:name w:val="脚注文本 字符"/>
    <w:link w:val="29"/>
    <w:qFormat/>
    <w:uiPriority w:val="0"/>
    <w:rPr>
      <w:kern w:val="2"/>
      <w:sz w:val="18"/>
      <w:szCs w:val="18"/>
    </w:rPr>
  </w:style>
  <w:style w:type="paragraph" w:customStyle="1" w:styleId="172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173">
    <w:name w:val="批注主题2"/>
    <w:basedOn w:val="12"/>
    <w:next w:val="12"/>
    <w:link w:val="197"/>
    <w:qFormat/>
    <w:uiPriority w:val="0"/>
    <w:rPr>
      <w:rFonts w:ascii="Times New Roman" w:hAnsi="Times New Roman" w:cs="黑体"/>
      <w:b/>
      <w:bCs/>
      <w:szCs w:val="24"/>
    </w:rPr>
  </w:style>
  <w:style w:type="character" w:customStyle="1" w:styleId="174">
    <w:name w:val="封面2"/>
    <w:qFormat/>
    <w:uiPriority w:val="0"/>
    <w:rPr>
      <w:b/>
      <w:spacing w:val="60"/>
      <w:sz w:val="44"/>
    </w:rPr>
  </w:style>
  <w:style w:type="paragraph" w:customStyle="1" w:styleId="175">
    <w:name w:val="正文（结尾部分）"/>
    <w:basedOn w:val="1"/>
    <w:qFormat/>
    <w:uiPriority w:val="0"/>
    <w:pPr>
      <w:adjustRightInd w:val="0"/>
      <w:snapToGrid w:val="0"/>
      <w:spacing w:line="320" w:lineRule="exact"/>
      <w:ind w:firstLine="200" w:firstLineChars="200"/>
    </w:pPr>
  </w:style>
  <w:style w:type="paragraph" w:customStyle="1" w:styleId="176">
    <w:name w:val="MM Topic 3"/>
    <w:basedOn w:val="7"/>
    <w:link w:val="245"/>
    <w:qFormat/>
    <w:uiPriority w:val="0"/>
    <w:pPr>
      <w:spacing w:line="415" w:lineRule="auto"/>
    </w:pPr>
    <w:rPr>
      <w:b w:val="0"/>
      <w:bCs w:val="0"/>
      <w:kern w:val="0"/>
      <w:sz w:val="20"/>
      <w:szCs w:val="20"/>
    </w:rPr>
  </w:style>
  <w:style w:type="paragraph" w:customStyle="1" w:styleId="177">
    <w:name w:val="xl93"/>
    <w:basedOn w:val="1"/>
    <w:qFormat/>
    <w:uiPriority w:val="0"/>
    <w:pPr>
      <w:widowControl/>
      <w:pBdr>
        <w:left w:val="single" w:color="000000" w:sz="4" w:space="0"/>
        <w:bottom w:val="single" w:color="000000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178">
    <w:name w:val="Char Char3"/>
    <w:qFormat/>
    <w:locked/>
    <w:uiPriority w:val="0"/>
    <w:rPr>
      <w:rFonts w:ascii="宋体" w:hAnsi="Courier New" w:eastAsia="宋体" w:cs="Courier New"/>
      <w:sz w:val="21"/>
      <w:szCs w:val="21"/>
    </w:rPr>
  </w:style>
  <w:style w:type="character" w:customStyle="1" w:styleId="179">
    <w:name w:val="Footer Char"/>
    <w:qFormat/>
    <w:locked/>
    <w:uiPriority w:val="99"/>
    <w:rPr>
      <w:rFonts w:ascii="Calibri" w:hAnsi="Calibri" w:eastAsia="宋体"/>
      <w:sz w:val="18"/>
    </w:rPr>
  </w:style>
  <w:style w:type="character" w:customStyle="1" w:styleId="180">
    <w:name w:val="标题 2 字符"/>
    <w:link w:val="6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paragraph" w:customStyle="1" w:styleId="181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82">
    <w:name w:val="xl8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183">
    <w:name w:val="修订3"/>
    <w:qFormat/>
    <w:uiPriority w:val="0"/>
    <w:rPr>
      <w:rFonts w:ascii="Calibri" w:hAnsi="Calibri" w:cs="黑体" w:eastAsiaTheme="minorEastAsia"/>
      <w:kern w:val="2"/>
      <w:sz w:val="21"/>
      <w:szCs w:val="24"/>
      <w:lang w:val="en-US" w:eastAsia="zh-CN" w:bidi="ar-SA"/>
    </w:rPr>
  </w:style>
  <w:style w:type="character" w:customStyle="1" w:styleId="184">
    <w:name w:val="脚注文本 Char Char"/>
    <w:qFormat/>
    <w:uiPriority w:val="0"/>
    <w:rPr>
      <w:kern w:val="2"/>
      <w:sz w:val="18"/>
      <w:szCs w:val="18"/>
    </w:rPr>
  </w:style>
  <w:style w:type="character" w:customStyle="1" w:styleId="185">
    <w:name w:val="纯文本 字符"/>
    <w:link w:val="17"/>
    <w:qFormat/>
    <w:uiPriority w:val="99"/>
    <w:rPr>
      <w:rFonts w:ascii="宋体" w:hAnsi="Courier New"/>
      <w:kern w:val="2"/>
      <w:sz w:val="21"/>
      <w:szCs w:val="21"/>
    </w:rPr>
  </w:style>
  <w:style w:type="character" w:customStyle="1" w:styleId="186">
    <w:name w:val="题名页-论文题目"/>
    <w:qFormat/>
    <w:uiPriority w:val="0"/>
    <w:rPr>
      <w:rFonts w:ascii="宋体" w:hAnsi="宋体" w:eastAsia="宋体"/>
      <w:sz w:val="30"/>
    </w:rPr>
  </w:style>
  <w:style w:type="paragraph" w:customStyle="1" w:styleId="187">
    <w:name w:val="00 1.1"/>
    <w:basedOn w:val="1"/>
    <w:qFormat/>
    <w:uiPriority w:val="0"/>
    <w:pPr>
      <w:spacing w:beforeLines="150"/>
      <w:outlineLvl w:val="1"/>
    </w:pPr>
    <w:rPr>
      <w:rFonts w:ascii="方正小标宋简体" w:eastAsia="方正小标宋简体"/>
      <w:sz w:val="28"/>
      <w:szCs w:val="28"/>
    </w:rPr>
  </w:style>
  <w:style w:type="paragraph" w:customStyle="1" w:styleId="188">
    <w:name w:val="纯文本1"/>
    <w:basedOn w:val="1"/>
    <w:qFormat/>
    <w:uiPriority w:val="0"/>
    <w:rPr>
      <w:rFonts w:ascii="宋体" w:hAnsi="Courier New"/>
      <w:szCs w:val="20"/>
    </w:rPr>
  </w:style>
  <w:style w:type="paragraph" w:customStyle="1" w:styleId="189">
    <w:name w:val="列出段落11"/>
    <w:basedOn w:val="1"/>
    <w:qFormat/>
    <w:uiPriority w:val="1"/>
    <w:pPr>
      <w:autoSpaceDE w:val="0"/>
      <w:autoSpaceDN w:val="0"/>
      <w:ind w:firstLine="420" w:firstLineChars="200"/>
      <w:jc w:val="left"/>
    </w:pPr>
    <w:rPr>
      <w:rFonts w:ascii="仿宋" w:hAnsi="仿宋" w:eastAsia="仿宋_GB2312" w:cs="仿宋"/>
      <w:kern w:val="0"/>
      <w:sz w:val="32"/>
      <w:szCs w:val="22"/>
    </w:rPr>
  </w:style>
  <w:style w:type="character" w:customStyle="1" w:styleId="190">
    <w:name w:val="font01"/>
    <w:qFormat/>
    <w:uiPriority w:val="0"/>
    <w:rPr>
      <w:rFonts w:hint="eastAsia" w:ascii="宋体" w:hAnsi="宋体" w:eastAsia="宋体" w:cs="宋体"/>
      <w:color w:val="333333"/>
      <w:sz w:val="20"/>
      <w:szCs w:val="20"/>
      <w:u w:val="none"/>
    </w:rPr>
  </w:style>
  <w:style w:type="character" w:customStyle="1" w:styleId="191">
    <w:name w:val="日期 字符"/>
    <w:semiHidden/>
    <w:qFormat/>
    <w:uiPriority w:val="99"/>
    <w:rPr>
      <w:kern w:val="2"/>
      <w:sz w:val="21"/>
      <w:szCs w:val="22"/>
    </w:rPr>
  </w:style>
  <w:style w:type="character" w:customStyle="1" w:styleId="192">
    <w:name w:val="封面-培养单位"/>
    <w:qFormat/>
    <w:uiPriority w:val="0"/>
  </w:style>
  <w:style w:type="character" w:customStyle="1" w:styleId="193">
    <w:name w:val="批注主题 Char1"/>
    <w:link w:val="194"/>
    <w:qFormat/>
    <w:uiPriority w:val="0"/>
    <w:rPr>
      <w:b/>
      <w:bCs/>
      <w:kern w:val="2"/>
      <w:sz w:val="21"/>
      <w:szCs w:val="24"/>
    </w:rPr>
  </w:style>
  <w:style w:type="paragraph" w:customStyle="1" w:styleId="194">
    <w:name w:val="批注主题11"/>
    <w:basedOn w:val="12"/>
    <w:next w:val="12"/>
    <w:link w:val="193"/>
    <w:qFormat/>
    <w:uiPriority w:val="0"/>
    <w:rPr>
      <w:rFonts w:ascii="Times New Roman" w:hAnsi="Times New Roman"/>
      <w:b/>
      <w:bCs/>
      <w:szCs w:val="24"/>
    </w:rPr>
  </w:style>
  <w:style w:type="character" w:customStyle="1" w:styleId="195">
    <w:name w:val="封面-作者"/>
    <w:qFormat/>
    <w:uiPriority w:val="0"/>
  </w:style>
  <w:style w:type="character" w:customStyle="1" w:styleId="196">
    <w:name w:val="正文文本缩进 3 Char1"/>
    <w:link w:val="154"/>
    <w:qFormat/>
    <w:uiPriority w:val="0"/>
    <w:rPr>
      <w:kern w:val="2"/>
      <w:sz w:val="16"/>
      <w:szCs w:val="16"/>
    </w:rPr>
  </w:style>
  <w:style w:type="character" w:customStyle="1" w:styleId="197">
    <w:name w:val="批注主题 Char2"/>
    <w:link w:val="173"/>
    <w:qFormat/>
    <w:uiPriority w:val="0"/>
    <w:rPr>
      <w:rFonts w:cs="黑体"/>
      <w:b/>
      <w:bCs/>
      <w:kern w:val="2"/>
      <w:sz w:val="21"/>
      <w:szCs w:val="24"/>
    </w:rPr>
  </w:style>
  <w:style w:type="paragraph" w:customStyle="1" w:styleId="198">
    <w:name w:val="xl9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99">
    <w:name w:val="批注框文本 字符1"/>
    <w:link w:val="22"/>
    <w:qFormat/>
    <w:uiPriority w:val="0"/>
    <w:rPr>
      <w:kern w:val="2"/>
      <w:sz w:val="18"/>
      <w:szCs w:val="18"/>
    </w:rPr>
  </w:style>
  <w:style w:type="character" w:customStyle="1" w:styleId="200">
    <w:name w:val="页码1"/>
    <w:qFormat/>
    <w:uiPriority w:val="0"/>
  </w:style>
  <w:style w:type="paragraph" w:customStyle="1" w:styleId="201">
    <w:name w:val="2"/>
    <w:basedOn w:val="5"/>
    <w:next w:val="1"/>
    <w:qFormat/>
    <w:uiPriority w:val="99"/>
    <w:pPr>
      <w:spacing w:before="0" w:after="0" w:line="240" w:lineRule="auto"/>
    </w:pPr>
    <w:rPr>
      <w:rFonts w:ascii="Times New Roman" w:hAnsi="Times New Roman"/>
      <w:bCs/>
      <w:sz w:val="21"/>
      <w:szCs w:val="44"/>
    </w:rPr>
  </w:style>
  <w:style w:type="paragraph" w:customStyle="1" w:styleId="202">
    <w:name w:val="xl84"/>
    <w:basedOn w:val="1"/>
    <w:qFormat/>
    <w:uiPriority w:val="0"/>
    <w:pPr>
      <w:widowControl/>
      <w:pBdr>
        <w:top w:val="single" w:color="000000" w:sz="4" w:space="0"/>
        <w:right w:val="single" w:color="000000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203">
    <w:name w:val="封面-导师"/>
    <w:qFormat/>
    <w:uiPriority w:val="0"/>
  </w:style>
  <w:style w:type="paragraph" w:customStyle="1" w:styleId="204">
    <w:name w:val="xl74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205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06">
    <w:name w:val="修订11"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207">
    <w:name w:val="xl8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table" w:customStyle="1" w:styleId="208">
    <w:name w:val="浅色底纹2"/>
    <w:basedOn w:val="38"/>
    <w:qFormat/>
    <w:uiPriority w:val="60"/>
    <w:rPr>
      <w:rFonts w:ascii="Calibri" w:hAnsi="Calibri"/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</w:style>
  <w:style w:type="character" w:customStyle="1" w:styleId="209">
    <w:name w:val="日期 字符1"/>
    <w:link w:val="19"/>
    <w:qFormat/>
    <w:uiPriority w:val="99"/>
    <w:rPr>
      <w:kern w:val="2"/>
      <w:sz w:val="21"/>
      <w:szCs w:val="24"/>
    </w:rPr>
  </w:style>
  <w:style w:type="character" w:customStyle="1" w:styleId="210">
    <w:name w:val="封面4"/>
    <w:qFormat/>
    <w:uiPriority w:val="0"/>
    <w:rPr>
      <w:rFonts w:ascii="Times New Roman" w:hAnsi="Times New Roman" w:eastAsia="宋体"/>
      <w:sz w:val="28"/>
    </w:rPr>
  </w:style>
  <w:style w:type="paragraph" w:customStyle="1" w:styleId="211">
    <w:name w:val="Char Char Char Char"/>
    <w:basedOn w:val="1"/>
    <w:semiHidden/>
    <w:qFormat/>
    <w:uiPriority w:val="0"/>
    <w:pPr>
      <w:widowControl/>
      <w:spacing w:beforeLines="50"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212">
    <w:name w:val="题名页-学位级别"/>
    <w:qFormat/>
    <w:uiPriority w:val="0"/>
  </w:style>
  <w:style w:type="character" w:customStyle="1" w:styleId="213">
    <w:name w:val="font2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214">
    <w:name w:val="文本块1"/>
    <w:basedOn w:val="1"/>
    <w:qFormat/>
    <w:uiPriority w:val="0"/>
    <w:pPr>
      <w:adjustRightInd w:val="0"/>
      <w:ind w:left="-2" w:leftChars="-50" w:right="-2" w:rightChars="-1" w:hanging="103" w:hangingChars="43"/>
    </w:pPr>
    <w:rPr>
      <w:rFonts w:ascii="宋体"/>
      <w:sz w:val="24"/>
      <w:szCs w:val="20"/>
    </w:rPr>
  </w:style>
  <w:style w:type="character" w:customStyle="1" w:styleId="215">
    <w:name w:val="题名页-学位类别"/>
    <w:qFormat/>
    <w:uiPriority w:val="0"/>
  </w:style>
  <w:style w:type="character" w:customStyle="1" w:styleId="216">
    <w:name w:val="标题 3 字符1"/>
    <w:link w:val="7"/>
    <w:qFormat/>
    <w:uiPriority w:val="0"/>
    <w:rPr>
      <w:b/>
      <w:bCs/>
      <w:kern w:val="2"/>
      <w:sz w:val="32"/>
      <w:szCs w:val="32"/>
    </w:rPr>
  </w:style>
  <w:style w:type="paragraph" w:customStyle="1" w:styleId="217">
    <w:name w:val="xl82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218">
    <w:name w:val="xl83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219">
    <w:name w:val="封面-论文题目"/>
    <w:qFormat/>
    <w:uiPriority w:val="0"/>
    <w:rPr>
      <w:rFonts w:ascii="Times New Roman" w:hAnsi="Times New Roman" w:eastAsia="宋体"/>
      <w:sz w:val="36"/>
    </w:rPr>
  </w:style>
  <w:style w:type="character" w:customStyle="1" w:styleId="220">
    <w:name w:val="style191"/>
    <w:qFormat/>
    <w:uiPriority w:val="0"/>
    <w:rPr>
      <w:sz w:val="19"/>
      <w:szCs w:val="19"/>
    </w:rPr>
  </w:style>
  <w:style w:type="paragraph" w:customStyle="1" w:styleId="221">
    <w:name w:val="附录五级条标题"/>
    <w:basedOn w:val="1"/>
    <w:next w:val="74"/>
    <w:qFormat/>
    <w:uiPriority w:val="0"/>
    <w:pPr>
      <w:widowControl/>
      <w:tabs>
        <w:tab w:val="left" w:pos="360"/>
      </w:tabs>
      <w:wordWrap w:val="0"/>
      <w:overflowPunct w:val="0"/>
      <w:autoSpaceDE w:val="0"/>
      <w:autoSpaceDN w:val="0"/>
      <w:ind w:firstLine="200"/>
      <w:textAlignment w:val="baseline"/>
      <w:outlineLvl w:val="6"/>
    </w:pPr>
    <w:rPr>
      <w:rFonts w:ascii="黑体" w:eastAsia="黑体"/>
      <w:kern w:val="21"/>
      <w:szCs w:val="20"/>
    </w:rPr>
  </w:style>
  <w:style w:type="character" w:customStyle="1" w:styleId="222">
    <w:name w:val="style61"/>
    <w:qFormat/>
    <w:uiPriority w:val="0"/>
    <w:rPr>
      <w:rFonts w:hint="eastAsia" w:ascii="宋体" w:hAnsi="宋体" w:eastAsia="宋体"/>
      <w:b/>
      <w:bCs/>
      <w:sz w:val="36"/>
      <w:szCs w:val="36"/>
    </w:rPr>
  </w:style>
  <w:style w:type="character" w:customStyle="1" w:styleId="223">
    <w:name w:val="签名 字符"/>
    <w:qFormat/>
    <w:uiPriority w:val="99"/>
    <w:rPr>
      <w:kern w:val="2"/>
      <w:sz w:val="21"/>
      <w:szCs w:val="24"/>
    </w:rPr>
  </w:style>
  <w:style w:type="character" w:customStyle="1" w:styleId="224">
    <w:name w:val="标题 3 字符"/>
    <w:semiHidden/>
    <w:qFormat/>
    <w:uiPriority w:val="9"/>
    <w:rPr>
      <w:b/>
      <w:bCs/>
      <w:kern w:val="2"/>
      <w:sz w:val="32"/>
      <w:szCs w:val="32"/>
    </w:rPr>
  </w:style>
  <w:style w:type="character" w:customStyle="1" w:styleId="225">
    <w:name w:val="封面3"/>
    <w:qFormat/>
    <w:uiPriority w:val="0"/>
    <w:rPr>
      <w:rFonts w:ascii="Times New Roman" w:hAnsi="Times New Roman" w:eastAsia="宋体"/>
      <w:sz w:val="30"/>
    </w:rPr>
  </w:style>
  <w:style w:type="character" w:customStyle="1" w:styleId="226">
    <w:name w:val="签名 字符1"/>
    <w:link w:val="25"/>
    <w:qFormat/>
    <w:uiPriority w:val="0"/>
    <w:rPr>
      <w:kern w:val="2"/>
      <w:sz w:val="24"/>
      <w:szCs w:val="24"/>
    </w:rPr>
  </w:style>
  <w:style w:type="character" w:customStyle="1" w:styleId="227">
    <w:name w:val="无间隔 Char"/>
    <w:link w:val="81"/>
    <w:qFormat/>
    <w:uiPriority w:val="99"/>
    <w:rPr>
      <w:rFonts w:ascii="Calibri" w:hAnsi="Calibri"/>
      <w:kern w:val="2"/>
      <w:sz w:val="22"/>
      <w:szCs w:val="22"/>
    </w:rPr>
  </w:style>
  <w:style w:type="paragraph" w:customStyle="1" w:styleId="228">
    <w:name w:val="列表段落2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229">
    <w:name w:val="题名页-学科专业"/>
    <w:qFormat/>
    <w:uiPriority w:val="0"/>
  </w:style>
  <w:style w:type="character" w:customStyle="1" w:styleId="230">
    <w:name w:val="题名页-学校代码"/>
    <w:qFormat/>
    <w:uiPriority w:val="0"/>
  </w:style>
  <w:style w:type="paragraph" w:customStyle="1" w:styleId="231">
    <w:name w:val="xl8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232">
    <w:name w:val="c-icon14"/>
    <w:qFormat/>
    <w:uiPriority w:val="0"/>
  </w:style>
  <w:style w:type="character" w:customStyle="1" w:styleId="233">
    <w:name w:val="封面-日期"/>
    <w:qFormat/>
    <w:uiPriority w:val="0"/>
  </w:style>
  <w:style w:type="table" w:customStyle="1" w:styleId="234">
    <w:name w:val="网格型4"/>
    <w:basedOn w:val="38"/>
    <w:qFormat/>
    <w:uiPriority w:val="39"/>
    <w:rPr>
      <w:rFonts w:ascii="Calibri" w:hAnsi="Calibri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35">
    <w:name w:val="题名页-学号"/>
    <w:qFormat/>
    <w:uiPriority w:val="0"/>
  </w:style>
  <w:style w:type="paragraph" w:customStyle="1" w:styleId="236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kern w:val="0"/>
      <w:sz w:val="24"/>
    </w:rPr>
  </w:style>
  <w:style w:type="character" w:customStyle="1" w:styleId="237">
    <w:name w:val="标题 1 Char1"/>
    <w:qFormat/>
    <w:uiPriority w:val="0"/>
    <w:rPr>
      <w:rFonts w:ascii="Times New Roman" w:hAnsi="Times New Roman"/>
      <w:b/>
      <w:bCs/>
      <w:kern w:val="44"/>
      <w:sz w:val="44"/>
      <w:szCs w:val="44"/>
    </w:rPr>
  </w:style>
  <w:style w:type="paragraph" w:customStyle="1" w:styleId="238">
    <w:name w:val="00 正文"/>
    <w:basedOn w:val="1"/>
    <w:qFormat/>
    <w:uiPriority w:val="0"/>
    <w:pPr>
      <w:spacing w:line="420" w:lineRule="exact"/>
      <w:ind w:firstLine="480" w:firstLineChars="200"/>
    </w:pPr>
    <w:rPr>
      <w:sz w:val="24"/>
    </w:rPr>
  </w:style>
  <w:style w:type="character" w:customStyle="1" w:styleId="239">
    <w:name w:val="访问过的超链接1"/>
    <w:qFormat/>
    <w:uiPriority w:val="0"/>
    <w:rPr>
      <w:color w:val="800080"/>
      <w:u w:val="single"/>
    </w:rPr>
  </w:style>
  <w:style w:type="character" w:customStyle="1" w:styleId="240">
    <w:name w:val="文档结构图 字符"/>
    <w:qFormat/>
    <w:uiPriority w:val="99"/>
    <w:rPr>
      <w:rFonts w:ascii="Microsoft YaHei UI" w:eastAsia="Microsoft YaHei UI"/>
      <w:kern w:val="2"/>
      <w:sz w:val="18"/>
      <w:szCs w:val="18"/>
    </w:rPr>
  </w:style>
  <w:style w:type="character" w:customStyle="1" w:styleId="241">
    <w:name w:val="Header Char"/>
    <w:qFormat/>
    <w:locked/>
    <w:uiPriority w:val="99"/>
    <w:rPr>
      <w:rFonts w:ascii="Calibri" w:hAnsi="Calibri" w:eastAsia="宋体"/>
      <w:sz w:val="18"/>
    </w:rPr>
  </w:style>
  <w:style w:type="character" w:customStyle="1" w:styleId="242">
    <w:name w:val="正文文本缩进 3 字符"/>
    <w:semiHidden/>
    <w:qFormat/>
    <w:uiPriority w:val="99"/>
    <w:rPr>
      <w:kern w:val="2"/>
      <w:sz w:val="16"/>
      <w:szCs w:val="16"/>
    </w:rPr>
  </w:style>
  <w:style w:type="character" w:customStyle="1" w:styleId="243">
    <w:name w:val="apple-converted-space"/>
    <w:qFormat/>
    <w:uiPriority w:val="0"/>
  </w:style>
  <w:style w:type="character" w:customStyle="1" w:styleId="244">
    <w:name w:val="Footer Char1"/>
    <w:semiHidden/>
    <w:qFormat/>
    <w:uiPriority w:val="99"/>
    <w:rPr>
      <w:rFonts w:hint="default" w:ascii="Calibri" w:hAnsi="Calibri" w:cs="Calibri"/>
      <w:sz w:val="18"/>
      <w:szCs w:val="18"/>
    </w:rPr>
  </w:style>
  <w:style w:type="character" w:customStyle="1" w:styleId="245">
    <w:name w:val="MM Topic 3 Char"/>
    <w:link w:val="176"/>
    <w:qFormat/>
    <w:uiPriority w:val="0"/>
  </w:style>
  <w:style w:type="table" w:customStyle="1" w:styleId="246">
    <w:name w:val="浅色底纹 - 强调文字颜色 11"/>
    <w:basedOn w:val="38"/>
    <w:qFormat/>
    <w:uiPriority w:val="60"/>
    <w:rPr>
      <w:rFonts w:ascii="Calibri" w:hAnsi="Calibri"/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4F81BD" w:sz="8" w:space="0"/>
          <w:left w:val="nil"/>
          <w:bottom w:val="single" w:color="4F81BD" w:sz="8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4F81BD" w:sz="8" w:space="0"/>
          <w:left w:val="nil"/>
          <w:bottom w:val="single" w:color="4F81BD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3DFEE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3DFEE"/>
      </w:tcPr>
    </w:tblStylePr>
  </w:style>
  <w:style w:type="paragraph" w:customStyle="1" w:styleId="247">
    <w:name w:val="style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黑体" w:hAnsi="宋体" w:eastAsia="黑体" w:cs="宋体"/>
      <w:kern w:val="0"/>
      <w:sz w:val="36"/>
      <w:szCs w:val="36"/>
    </w:rPr>
  </w:style>
  <w:style w:type="paragraph" w:customStyle="1" w:styleId="248">
    <w:name w:val="xl85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249">
    <w:name w:val="xl7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250">
    <w:name w:val="正文文本 Char1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paragraph" w:customStyle="1" w:styleId="251">
    <w:name w:val="xl90"/>
    <w:basedOn w:val="1"/>
    <w:qFormat/>
    <w:uiPriority w:val="0"/>
    <w:pPr>
      <w:widowControl/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252">
    <w:name w:val="font71"/>
    <w:basedOn w:val="40"/>
    <w:qFormat/>
    <w:uiPriority w:val="0"/>
    <w:rPr>
      <w:rFonts w:hint="eastAsia" w:ascii="仿宋_GB2312" w:eastAsia="仿宋_GB2312" w:cs="仿宋_GB2312"/>
      <w:b/>
      <w:bCs/>
      <w:color w:val="000000"/>
      <w:sz w:val="24"/>
      <w:szCs w:val="24"/>
      <w:u w:val="none"/>
    </w:rPr>
  </w:style>
  <w:style w:type="character" w:customStyle="1" w:styleId="253">
    <w:name w:val="Date Char"/>
    <w:qFormat/>
    <w:locked/>
    <w:uiPriority w:val="99"/>
    <w:rPr>
      <w:rFonts w:ascii="Calibri" w:hAnsi="Calibri" w:eastAsia="宋体"/>
    </w:rPr>
  </w:style>
  <w:style w:type="paragraph" w:customStyle="1" w:styleId="254">
    <w:name w:val="1"/>
    <w:basedOn w:val="5"/>
    <w:next w:val="1"/>
    <w:qFormat/>
    <w:uiPriority w:val="99"/>
    <w:pPr>
      <w:spacing w:before="0" w:after="0" w:line="240" w:lineRule="auto"/>
      <w:jc w:val="center"/>
    </w:pPr>
    <w:rPr>
      <w:rFonts w:ascii="宋体" w:hAnsi="宋体"/>
      <w:bCs/>
      <w:sz w:val="21"/>
      <w:szCs w:val="21"/>
    </w:rPr>
  </w:style>
  <w:style w:type="character" w:customStyle="1" w:styleId="255">
    <w:name w:val="页脚 字符2"/>
    <w:link w:val="23"/>
    <w:qFormat/>
    <w:uiPriority w:val="99"/>
    <w:rPr>
      <w:kern w:val="2"/>
      <w:sz w:val="18"/>
      <w:szCs w:val="18"/>
    </w:rPr>
  </w:style>
  <w:style w:type="character" w:customStyle="1" w:styleId="256">
    <w:name w:val="标题 字符"/>
    <w:link w:val="36"/>
    <w:qFormat/>
    <w:uiPriority w:val="10"/>
    <w:rPr>
      <w:rFonts w:ascii="Cambria" w:hAnsi="Cambria"/>
      <w:b/>
      <w:bCs/>
      <w:kern w:val="2"/>
      <w:sz w:val="32"/>
      <w:szCs w:val="32"/>
    </w:rPr>
  </w:style>
  <w:style w:type="paragraph" w:customStyle="1" w:styleId="257">
    <w:name w:val="xl78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258">
    <w:name w:val="xl9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259">
    <w:name w:val="00 表格上文字"/>
    <w:basedOn w:val="1"/>
    <w:qFormat/>
    <w:uiPriority w:val="0"/>
    <w:pPr>
      <w:spacing w:beforeLines="100"/>
      <w:ind w:firstLine="420" w:firstLineChars="200"/>
      <w:jc w:val="center"/>
    </w:pPr>
    <w:rPr>
      <w:rFonts w:eastAsia="黑体"/>
      <w:szCs w:val="20"/>
    </w:rPr>
  </w:style>
  <w:style w:type="paragraph" w:customStyle="1" w:styleId="260">
    <w:name w:val="xl102"/>
    <w:basedOn w:val="1"/>
    <w:qFormat/>
    <w:uiPriority w:val="0"/>
    <w:pPr>
      <w:widowControl/>
      <w:pBdr>
        <w:top w:val="single" w:color="000000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261">
    <w:name w:val="zw"/>
    <w:basedOn w:val="1"/>
    <w:qFormat/>
    <w:uiPriority w:val="0"/>
    <w:pPr>
      <w:widowControl/>
      <w:spacing w:before="30"/>
      <w:ind w:left="100" w:right="100"/>
    </w:pPr>
    <w:rPr>
      <w:rFonts w:ascii="方正书宋简体" w:hAnsi="宋体" w:eastAsia="方正书宋简体"/>
      <w:color w:val="000000"/>
      <w:kern w:val="0"/>
      <w:szCs w:val="21"/>
    </w:rPr>
  </w:style>
  <w:style w:type="character" w:customStyle="1" w:styleId="262">
    <w:name w:val="标题 4 字符"/>
    <w:semiHidden/>
    <w:qFormat/>
    <w:uiPriority w:val="9"/>
    <w:rPr>
      <w:rFonts w:ascii="等线 Light" w:hAnsi="等线 Light" w:eastAsia="等线 Light" w:cs="Times New Roman"/>
      <w:b/>
      <w:bCs/>
      <w:kern w:val="2"/>
      <w:sz w:val="28"/>
      <w:szCs w:val="28"/>
    </w:rPr>
  </w:style>
  <w:style w:type="character" w:customStyle="1" w:styleId="263">
    <w:name w:val="正文文本缩进 字符1"/>
    <w:link w:val="4"/>
    <w:qFormat/>
    <w:uiPriority w:val="99"/>
    <w:rPr>
      <w:rFonts w:ascii="仿宋_GB2312" w:hAnsi="宋体" w:eastAsia="仿宋_GB2312"/>
      <w:kern w:val="2"/>
      <w:sz w:val="28"/>
      <w:szCs w:val="24"/>
    </w:rPr>
  </w:style>
  <w:style w:type="character" w:customStyle="1" w:styleId="264">
    <w:name w:val="副标题 Char Char"/>
    <w:qFormat/>
    <w:uiPriority w:val="0"/>
    <w:rPr>
      <w:rFonts w:ascii="Cambria" w:hAnsi="Cambria"/>
      <w:b/>
      <w:bCs/>
      <w:kern w:val="28"/>
      <w:sz w:val="21"/>
      <w:szCs w:val="32"/>
    </w:rPr>
  </w:style>
  <w:style w:type="character" w:customStyle="1" w:styleId="265">
    <w:name w:val="纯文本 Char1"/>
    <w:qFormat/>
    <w:locked/>
    <w:uiPriority w:val="99"/>
    <w:rPr>
      <w:rFonts w:ascii="宋体" w:hAnsi="Courier New" w:eastAsia="宋体" w:cs="Courier New"/>
      <w:szCs w:val="21"/>
    </w:rPr>
  </w:style>
  <w:style w:type="table" w:customStyle="1" w:styleId="266">
    <w:name w:val="网格型5"/>
    <w:basedOn w:val="38"/>
    <w:qFormat/>
    <w:uiPriority w:val="39"/>
    <w:rPr>
      <w:rFonts w:ascii="Calibri" w:hAnsi="Calibri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67">
    <w:name w:val="00 1"/>
    <w:basedOn w:val="1"/>
    <w:qFormat/>
    <w:uiPriority w:val="0"/>
    <w:pPr>
      <w:spacing w:beforeLines="150" w:afterLines="50"/>
    </w:pPr>
    <w:rPr>
      <w:rFonts w:ascii="黑体" w:eastAsia="黑体"/>
      <w:sz w:val="30"/>
      <w:szCs w:val="30"/>
    </w:rPr>
  </w:style>
  <w:style w:type="paragraph" w:customStyle="1" w:styleId="268">
    <w:name w:val="列出段落1"/>
    <w:basedOn w:val="1"/>
    <w:qFormat/>
    <w:uiPriority w:val="1"/>
    <w:pPr>
      <w:ind w:firstLine="420"/>
    </w:pPr>
    <w:rPr>
      <w:rFonts w:ascii="Calibri" w:hAnsi="Calibri"/>
      <w:szCs w:val="21"/>
    </w:rPr>
  </w:style>
  <w:style w:type="paragraph" w:styleId="269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table" w:customStyle="1" w:styleId="270">
    <w:name w:val="网格型2"/>
    <w:basedOn w:val="38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271">
    <w:name w:val="xl100"/>
    <w:basedOn w:val="1"/>
    <w:qFormat/>
    <w:uiPriority w:val="0"/>
    <w:pPr>
      <w:widowControl/>
      <w:pBdr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272">
    <w:name w:val="题名页2"/>
    <w:qFormat/>
    <w:uiPriority w:val="0"/>
    <w:rPr>
      <w:rFonts w:ascii="Times New Roman" w:hAnsi="Times New Roman" w:eastAsia="宋体"/>
      <w:spacing w:val="60"/>
      <w:sz w:val="44"/>
    </w:rPr>
  </w:style>
  <w:style w:type="character" w:customStyle="1" w:styleId="273">
    <w:name w:val="页脚 字符"/>
    <w:qFormat/>
    <w:uiPriority w:val="99"/>
    <w:rPr>
      <w:sz w:val="18"/>
      <w:szCs w:val="18"/>
    </w:rPr>
  </w:style>
  <w:style w:type="character" w:customStyle="1" w:styleId="274">
    <w:name w:val="明显强调1"/>
    <w:qFormat/>
    <w:uiPriority w:val="0"/>
    <w:rPr>
      <w:rFonts w:ascii="Times New Roman" w:hAnsi="Times New Roman" w:eastAsia="宋体" w:cs="Times New Roman"/>
      <w:b/>
      <w:bCs/>
      <w:i/>
      <w:iCs/>
      <w:color w:val="4F81BD"/>
    </w:rPr>
  </w:style>
  <w:style w:type="character" w:customStyle="1" w:styleId="275">
    <w:name w:val="tpccontent1"/>
    <w:qFormat/>
    <w:uiPriority w:val="0"/>
  </w:style>
  <w:style w:type="paragraph" w:customStyle="1" w:styleId="276">
    <w:name w:val="xl98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277">
    <w:name w:val="副标题 字符"/>
    <w:link w:val="28"/>
    <w:qFormat/>
    <w:uiPriority w:val="0"/>
    <w:rPr>
      <w:rFonts w:ascii="Calibri Light" w:hAnsi="Calibri Light" w:cs="黑体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" Type="http://schemas.openxmlformats.org/officeDocument/2006/relationships/header" Target="header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2.xml"/><Relationship Id="rId39" Type="http://schemas.openxmlformats.org/officeDocument/2006/relationships/image" Target="media/image19.png"/><Relationship Id="rId38" Type="http://schemas.openxmlformats.org/officeDocument/2006/relationships/image" Target="media/image18.png"/><Relationship Id="rId37" Type="http://schemas.openxmlformats.org/officeDocument/2006/relationships/image" Target="media/image17.jpeg"/><Relationship Id="rId36" Type="http://schemas.openxmlformats.org/officeDocument/2006/relationships/image" Target="media/image16.png"/><Relationship Id="rId35" Type="http://schemas.openxmlformats.org/officeDocument/2006/relationships/image" Target="media/image15.png"/><Relationship Id="rId34" Type="http://schemas.openxmlformats.org/officeDocument/2006/relationships/image" Target="media/image14.jpeg"/><Relationship Id="rId33" Type="http://schemas.openxmlformats.org/officeDocument/2006/relationships/image" Target="media/image13.jpeg"/><Relationship Id="rId32" Type="http://schemas.openxmlformats.org/officeDocument/2006/relationships/image" Target="media/image12.png"/><Relationship Id="rId31" Type="http://schemas.openxmlformats.org/officeDocument/2006/relationships/image" Target="media/image11.png"/><Relationship Id="rId30" Type="http://schemas.openxmlformats.org/officeDocument/2006/relationships/image" Target="media/image10.png"/><Relationship Id="rId3" Type="http://schemas.openxmlformats.org/officeDocument/2006/relationships/footer" Target="footer1.xml"/><Relationship Id="rId29" Type="http://schemas.openxmlformats.org/officeDocument/2006/relationships/image" Target="media/image9.png"/><Relationship Id="rId28" Type="http://schemas.openxmlformats.org/officeDocument/2006/relationships/image" Target="media/image8.png"/><Relationship Id="rId27" Type="http://schemas.openxmlformats.org/officeDocument/2006/relationships/image" Target="media/image7.wmf"/><Relationship Id="rId26" Type="http://schemas.openxmlformats.org/officeDocument/2006/relationships/oleObject" Target="embeddings/oleObject1.bin"/><Relationship Id="rId25" Type="http://schemas.openxmlformats.org/officeDocument/2006/relationships/image" Target="media/image6.jpeg"/><Relationship Id="rId24" Type="http://schemas.openxmlformats.org/officeDocument/2006/relationships/image" Target="media/image5.png"/><Relationship Id="rId23" Type="http://schemas.openxmlformats.org/officeDocument/2006/relationships/image" Target="media/image4.jpeg"/><Relationship Id="rId22" Type="http://schemas.openxmlformats.org/officeDocument/2006/relationships/image" Target="media/image3.png"/><Relationship Id="rId21" Type="http://schemas.openxmlformats.org/officeDocument/2006/relationships/image" Target="media/image2.png"/><Relationship Id="rId20" Type="http://schemas.openxmlformats.org/officeDocument/2006/relationships/image" Target="media/image1.png"/><Relationship Id="rId2" Type="http://schemas.openxmlformats.org/officeDocument/2006/relationships/settings" Target="settings.xml"/><Relationship Id="rId19" Type="http://schemas.openxmlformats.org/officeDocument/2006/relationships/theme" Target="theme/theme1.xml"/><Relationship Id="rId18" Type="http://schemas.openxmlformats.org/officeDocument/2006/relationships/footer" Target="footer13.xml"/><Relationship Id="rId17" Type="http://schemas.openxmlformats.org/officeDocument/2006/relationships/footer" Target="footer12.xml"/><Relationship Id="rId16" Type="http://schemas.openxmlformats.org/officeDocument/2006/relationships/header" Target="header3.xml"/><Relationship Id="rId15" Type="http://schemas.openxmlformats.org/officeDocument/2006/relationships/header" Target="header2.xml"/><Relationship Id="rId14" Type="http://schemas.openxmlformats.org/officeDocument/2006/relationships/footer" Target="footer11.xml"/><Relationship Id="rId13" Type="http://schemas.openxmlformats.org/officeDocument/2006/relationships/footer" Target="footer10.xml"/><Relationship Id="rId12" Type="http://schemas.openxmlformats.org/officeDocument/2006/relationships/footer" Target="footer9.xml"/><Relationship Id="rId11" Type="http://schemas.openxmlformats.org/officeDocument/2006/relationships/footer" Target="footer8.xml"/><Relationship Id="rId10" Type="http://schemas.openxmlformats.org/officeDocument/2006/relationships/footer" Target="footer7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42</Pages>
  <Words>14544</Words>
  <Characters>16065</Characters>
  <Lines>131</Lines>
  <Paragraphs>36</Paragraphs>
  <TotalTime>22</TotalTime>
  <ScaleCrop>false</ScaleCrop>
  <LinksUpToDate>false</LinksUpToDate>
  <CharactersWithSpaces>16948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2023-08-22T15:16:00Z</dcterms:created>
  <dc:creator>陈争</dc:creator>
  <cp:lastModifiedBy>游云惊龙</cp:lastModifiedBy>
  <dcterms:modified xsi:type="dcterms:W3CDTF">2023-09-04T08:40:01Z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4C040CC62DE54FD9B381FF7FAE5EA64C_13</vt:lpwstr>
  </property>
</Properties>
</file>