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ED0DC" w14:textId="77777777" w:rsidR="00283895" w:rsidRDefault="004432E6">
      <w:pPr>
        <w:rPr>
          <w:rFonts w:ascii="黑体" w:eastAsia="黑体" w:hAnsi="黑体" w:cs="黑体"/>
          <w:spacing w:val="-8"/>
          <w:sz w:val="32"/>
          <w:szCs w:val="32"/>
        </w:rPr>
      </w:pPr>
      <w:r>
        <w:rPr>
          <w:rFonts w:ascii="黑体" w:eastAsia="黑体" w:hAnsi="黑体" w:cs="黑体" w:hint="eastAsia"/>
          <w:spacing w:val="-8"/>
          <w:sz w:val="32"/>
          <w:szCs w:val="32"/>
        </w:rPr>
        <w:t>附件1</w:t>
      </w:r>
    </w:p>
    <w:p w14:paraId="5DAF357A" w14:textId="77777777" w:rsidR="00283895" w:rsidRDefault="004432E6">
      <w:pPr>
        <w:jc w:val="center"/>
        <w:rPr>
          <w:rFonts w:ascii="Times New Roman" w:eastAsia="方正小标宋简体" w:hAnsi="Times New Roman" w:cs="Times New Roman"/>
          <w:spacing w:val="-8"/>
          <w:sz w:val="44"/>
          <w:szCs w:val="44"/>
        </w:rPr>
      </w:pPr>
      <w:r>
        <w:rPr>
          <w:rFonts w:ascii="Times New Roman" w:eastAsia="方正小标宋简体" w:hAnsi="Times New Roman" w:cs="Times New Roman" w:hint="eastAsia"/>
          <w:spacing w:val="-8"/>
          <w:sz w:val="44"/>
          <w:szCs w:val="44"/>
        </w:rPr>
        <w:t>山东省道路运输经营者信用评分标准</w:t>
      </w:r>
      <w:r>
        <w:rPr>
          <w:rFonts w:ascii="Times New Roman" w:eastAsia="方正小标宋简体" w:hAnsi="Times New Roman" w:cs="Times New Roman"/>
          <w:spacing w:val="-8"/>
          <w:sz w:val="44"/>
          <w:szCs w:val="44"/>
        </w:rPr>
        <w:t>(202</w:t>
      </w:r>
      <w:r>
        <w:rPr>
          <w:rFonts w:ascii="Times New Roman" w:eastAsia="方正小标宋简体" w:hAnsi="Times New Roman" w:cs="Times New Roman" w:hint="eastAsia"/>
          <w:spacing w:val="-8"/>
          <w:sz w:val="44"/>
          <w:szCs w:val="44"/>
        </w:rPr>
        <w:t>2</w:t>
      </w:r>
      <w:r>
        <w:rPr>
          <w:rFonts w:ascii="Times New Roman" w:eastAsia="方正小标宋简体" w:hAnsi="Times New Roman" w:cs="Times New Roman" w:hint="eastAsia"/>
          <w:spacing w:val="-8"/>
          <w:sz w:val="44"/>
          <w:szCs w:val="44"/>
        </w:rPr>
        <w:t>版</w:t>
      </w:r>
      <w:r>
        <w:rPr>
          <w:rFonts w:ascii="Times New Roman" w:eastAsia="方正小标宋简体" w:hAnsi="Times New Roman" w:cs="Times New Roman"/>
          <w:spacing w:val="-8"/>
          <w:sz w:val="44"/>
          <w:szCs w:val="44"/>
        </w:rPr>
        <w:t>)</w:t>
      </w:r>
    </w:p>
    <w:p w14:paraId="25A373F2" w14:textId="77777777" w:rsidR="00283895" w:rsidRDefault="00283895">
      <w:pPr>
        <w:spacing w:line="360" w:lineRule="auto"/>
        <w:jc w:val="center"/>
        <w:rPr>
          <w:rFonts w:ascii="Times New Roman" w:hAnsi="Times New Roman" w:cs="Times New Roman"/>
          <w:spacing w:val="-8"/>
          <w:szCs w:val="21"/>
        </w:rPr>
      </w:pPr>
    </w:p>
    <w:tbl>
      <w:tblPr>
        <w:tblW w:w="9966" w:type="dxa"/>
        <w:tblInd w:w="-282" w:type="dxa"/>
        <w:tblLayout w:type="fixed"/>
        <w:tblCellMar>
          <w:left w:w="0" w:type="dxa"/>
          <w:right w:w="0" w:type="dxa"/>
        </w:tblCellMar>
        <w:tblLook w:val="04A0" w:firstRow="1" w:lastRow="0" w:firstColumn="1" w:lastColumn="0" w:noHBand="0" w:noVBand="1"/>
      </w:tblPr>
      <w:tblGrid>
        <w:gridCol w:w="618"/>
        <w:gridCol w:w="6936"/>
        <w:gridCol w:w="1507"/>
        <w:gridCol w:w="905"/>
      </w:tblGrid>
      <w:tr w:rsidR="00283895" w14:paraId="35FA34D4" w14:textId="77777777">
        <w:trPr>
          <w:trHeight w:val="30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3D09A" w14:textId="77777777" w:rsidR="00283895" w:rsidRDefault="004432E6">
            <w:pPr>
              <w:widowControl/>
              <w:adjustRightInd w:val="0"/>
              <w:snapToGrid w:val="0"/>
              <w:jc w:val="center"/>
              <w:textAlignment w:val="center"/>
              <w:rPr>
                <w:rFonts w:ascii="Times New Roman" w:eastAsia="黑体" w:hAnsi="Times New Roman" w:cs="Times New Roman"/>
                <w:kern w:val="0"/>
                <w:sz w:val="24"/>
              </w:rPr>
            </w:pPr>
            <w:r>
              <w:rPr>
                <w:rFonts w:ascii="Times New Roman" w:eastAsia="黑体" w:hAnsi="Times New Roman" w:cs="Times New Roman" w:hint="eastAsia"/>
                <w:kern w:val="0"/>
                <w:sz w:val="24"/>
              </w:rPr>
              <w:t>序号</w:t>
            </w:r>
          </w:p>
        </w:tc>
        <w:tc>
          <w:tcPr>
            <w:tcW w:w="844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865493" w14:textId="77777777" w:rsidR="00283895" w:rsidRDefault="004432E6">
            <w:pPr>
              <w:widowControl/>
              <w:adjustRightInd w:val="0"/>
              <w:snapToGrid w:val="0"/>
              <w:jc w:val="center"/>
              <w:textAlignment w:val="center"/>
              <w:rPr>
                <w:rFonts w:ascii="Times New Roman" w:eastAsia="黑体" w:hAnsi="Times New Roman" w:cs="Times New Roman"/>
                <w:kern w:val="0"/>
                <w:sz w:val="24"/>
              </w:rPr>
            </w:pPr>
            <w:r>
              <w:rPr>
                <w:rFonts w:ascii="Times New Roman" w:eastAsia="黑体" w:hAnsi="Times New Roman" w:cs="Times New Roman" w:hint="eastAsia"/>
                <w:kern w:val="0"/>
                <w:sz w:val="24"/>
              </w:rPr>
              <w:t>记分内容</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6760D2" w14:textId="77777777" w:rsidR="00283895" w:rsidRDefault="004432E6">
            <w:pPr>
              <w:widowControl/>
              <w:adjustRightInd w:val="0"/>
              <w:snapToGrid w:val="0"/>
              <w:jc w:val="center"/>
              <w:textAlignment w:val="center"/>
              <w:rPr>
                <w:rFonts w:ascii="Times New Roman" w:eastAsia="黑体" w:hAnsi="Times New Roman" w:cs="Times New Roman"/>
                <w:kern w:val="0"/>
                <w:sz w:val="24"/>
              </w:rPr>
            </w:pPr>
            <w:r>
              <w:rPr>
                <w:rFonts w:ascii="Times New Roman" w:eastAsia="黑体" w:hAnsi="Times New Roman" w:cs="Times New Roman" w:hint="eastAsia"/>
                <w:kern w:val="0"/>
                <w:sz w:val="24"/>
              </w:rPr>
              <w:t>分值</w:t>
            </w:r>
          </w:p>
        </w:tc>
      </w:tr>
      <w:tr w:rsidR="00283895" w14:paraId="7BCE29D8" w14:textId="77777777">
        <w:trPr>
          <w:trHeight w:val="300"/>
        </w:trPr>
        <w:tc>
          <w:tcPr>
            <w:tcW w:w="996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C96901" w14:textId="77777777" w:rsidR="00283895" w:rsidRDefault="004432E6">
            <w:pPr>
              <w:widowControl/>
              <w:jc w:val="left"/>
              <w:textAlignment w:val="center"/>
              <w:rPr>
                <w:rFonts w:ascii="Times New Roman" w:eastAsia="仿宋_GB2312" w:hAnsi="Times New Roman" w:cs="Times New Roman"/>
                <w:kern w:val="0"/>
                <w:sz w:val="24"/>
              </w:rPr>
            </w:pPr>
            <w:r>
              <w:rPr>
                <w:rFonts w:ascii="黑体" w:eastAsia="黑体" w:hAnsi="黑体" w:cs="黑体" w:hint="eastAsia"/>
                <w:kern w:val="0"/>
                <w:sz w:val="24"/>
              </w:rPr>
              <w:t>一、涉及违法违规的失信行为（按照《山东省道路运输经营者违法违规行为记分标准》记分）</w:t>
            </w:r>
          </w:p>
        </w:tc>
      </w:tr>
      <w:tr w:rsidR="00283895" w14:paraId="349C0230" w14:textId="77777777">
        <w:trPr>
          <w:trHeight w:val="300"/>
        </w:trPr>
        <w:tc>
          <w:tcPr>
            <w:tcW w:w="906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28458C" w14:textId="77777777" w:rsidR="00283895" w:rsidRDefault="004432E6">
            <w:pPr>
              <w:widowControl/>
              <w:jc w:val="right"/>
              <w:textAlignment w:val="center"/>
              <w:rPr>
                <w:rFonts w:ascii="黑体" w:eastAsia="黑体" w:hAnsi="黑体" w:cs="黑体"/>
                <w:kern w:val="0"/>
                <w:sz w:val="24"/>
              </w:rPr>
            </w:pPr>
            <w:r>
              <w:rPr>
                <w:rStyle w:val="font31"/>
                <w:rFonts w:ascii="Times New Roman" w:eastAsia="仿宋_GB2312" w:hAnsi="Times New Roman" w:cs="Times New Roman" w:hint="default"/>
                <w:color w:val="auto"/>
                <w:sz w:val="21"/>
                <w:szCs w:val="21"/>
              </w:rPr>
              <w:t>违法行为记分值累计</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00CBED" w14:textId="77777777" w:rsidR="00283895" w:rsidRDefault="004432E6">
            <w:pPr>
              <w:widowControl/>
              <w:jc w:val="center"/>
              <w:textAlignment w:val="center"/>
              <w:rPr>
                <w:rStyle w:val="font21"/>
                <w:rFonts w:hint="default"/>
                <w:b w:val="0"/>
                <w:color w:val="auto"/>
                <w:sz w:val="21"/>
                <w:szCs w:val="21"/>
              </w:rPr>
            </w:pPr>
            <w:r>
              <w:rPr>
                <w:rStyle w:val="font21"/>
                <w:rFonts w:hint="default"/>
                <w:b w:val="0"/>
                <w:color w:val="auto"/>
                <w:sz w:val="21"/>
                <w:szCs w:val="21"/>
              </w:rPr>
              <w:t>Ⅰ</w:t>
            </w:r>
          </w:p>
        </w:tc>
      </w:tr>
      <w:tr w:rsidR="00283895" w14:paraId="64A2CA58" w14:textId="77777777">
        <w:trPr>
          <w:trHeight w:val="300"/>
        </w:trPr>
        <w:tc>
          <w:tcPr>
            <w:tcW w:w="996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0CC307" w14:textId="77777777" w:rsidR="00283895" w:rsidRDefault="004432E6">
            <w:pPr>
              <w:widowControl/>
              <w:jc w:val="left"/>
              <w:textAlignment w:val="center"/>
              <w:rPr>
                <w:rFonts w:ascii="黑体" w:eastAsia="黑体" w:hAnsi="黑体" w:cs="黑体"/>
                <w:kern w:val="0"/>
                <w:sz w:val="24"/>
              </w:rPr>
            </w:pPr>
            <w:r>
              <w:rPr>
                <w:rFonts w:ascii="黑体" w:eastAsia="黑体" w:hAnsi="黑体" w:cs="黑体" w:hint="eastAsia"/>
                <w:kern w:val="0"/>
                <w:sz w:val="24"/>
              </w:rPr>
              <w:t>二、其他失信行为</w:t>
            </w:r>
          </w:p>
        </w:tc>
      </w:tr>
      <w:tr w:rsidR="00283895" w14:paraId="4B54E48B" w14:textId="77777777">
        <w:trPr>
          <w:trHeight w:val="30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3973E6" w14:textId="77777777" w:rsidR="00283895" w:rsidRDefault="004432E6">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844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2027E8" w14:textId="77777777" w:rsidR="00283895" w:rsidRDefault="004432E6">
            <w:pPr>
              <w:widowControl/>
              <w:jc w:val="left"/>
              <w:textAlignment w:val="center"/>
              <w:rPr>
                <w:rFonts w:ascii="Times New Roman" w:eastAsia="仿宋_GB2312" w:hAnsi="Times New Roman" w:cs="Times New Roman"/>
                <w:szCs w:val="21"/>
              </w:rPr>
            </w:pPr>
            <w:r>
              <w:rPr>
                <w:rStyle w:val="font31"/>
                <w:rFonts w:ascii="Times New Roman" w:eastAsia="仿宋_GB2312" w:hAnsi="Times New Roman" w:cs="Times New Roman" w:hint="default"/>
                <w:color w:val="auto"/>
                <w:sz w:val="21"/>
                <w:szCs w:val="21"/>
              </w:rPr>
              <w:t>因服务质量低劣造成不良社会影响，被县级以上新闻媒体曝光并经查证属实的；</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A7B197" w14:textId="77777777" w:rsidR="00283895" w:rsidRDefault="004432E6">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4</w:t>
            </w:r>
          </w:p>
        </w:tc>
      </w:tr>
      <w:tr w:rsidR="00283895" w14:paraId="3407DA15" w14:textId="77777777">
        <w:trPr>
          <w:trHeight w:val="30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D0778C" w14:textId="77777777" w:rsidR="00283895" w:rsidRDefault="004432E6">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p>
        </w:tc>
        <w:tc>
          <w:tcPr>
            <w:tcW w:w="844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870189" w14:textId="77777777" w:rsidR="00283895" w:rsidRDefault="004432E6">
            <w:pPr>
              <w:widowControl/>
              <w:jc w:val="left"/>
              <w:textAlignment w:val="center"/>
              <w:rPr>
                <w:rFonts w:ascii="Times New Roman" w:eastAsia="仿宋_GB2312" w:hAnsi="Times New Roman" w:cs="Times New Roman"/>
                <w:szCs w:val="21"/>
              </w:rPr>
            </w:pPr>
            <w:r>
              <w:rPr>
                <w:rStyle w:val="font31"/>
                <w:rFonts w:ascii="Times New Roman" w:eastAsia="仿宋_GB2312" w:hAnsi="Times New Roman" w:cs="Times New Roman" w:hint="default"/>
                <w:color w:val="auto"/>
                <w:sz w:val="21"/>
                <w:szCs w:val="21"/>
              </w:rPr>
              <w:t>因服务质量低劣造成不良社会影响，被设区的市级以上新闻媒体曝光并经查证属实的；</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52D024" w14:textId="77777777" w:rsidR="00283895" w:rsidRDefault="004432E6">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5</w:t>
            </w:r>
          </w:p>
        </w:tc>
      </w:tr>
      <w:tr w:rsidR="00283895" w14:paraId="75722388" w14:textId="77777777">
        <w:trPr>
          <w:trHeight w:val="30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462BC6" w14:textId="77777777" w:rsidR="00283895" w:rsidRDefault="004432E6">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p>
        </w:tc>
        <w:tc>
          <w:tcPr>
            <w:tcW w:w="844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0A2419" w14:textId="77777777" w:rsidR="00283895" w:rsidRDefault="004432E6">
            <w:pPr>
              <w:widowControl/>
              <w:jc w:val="left"/>
              <w:textAlignment w:val="center"/>
              <w:rPr>
                <w:rFonts w:ascii="Times New Roman" w:eastAsia="仿宋_GB2312" w:hAnsi="Times New Roman" w:cs="Times New Roman"/>
                <w:szCs w:val="21"/>
              </w:rPr>
            </w:pPr>
            <w:r>
              <w:rPr>
                <w:rStyle w:val="font31"/>
                <w:rFonts w:ascii="Times New Roman" w:eastAsia="仿宋_GB2312" w:hAnsi="Times New Roman" w:cs="Times New Roman" w:hint="default"/>
                <w:color w:val="auto"/>
                <w:sz w:val="21"/>
                <w:szCs w:val="21"/>
              </w:rPr>
              <w:t>因服务质量低劣造成不良社会影响，被省级以上新闻媒体曝光并经查证属实的；</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178C66" w14:textId="77777777" w:rsidR="00283895" w:rsidRDefault="004432E6">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10</w:t>
            </w:r>
          </w:p>
        </w:tc>
      </w:tr>
      <w:tr w:rsidR="00283895" w14:paraId="3E955822" w14:textId="77777777">
        <w:trPr>
          <w:trHeight w:val="57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CA09A0" w14:textId="77777777" w:rsidR="00283895" w:rsidRDefault="004432E6">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p>
        </w:tc>
        <w:tc>
          <w:tcPr>
            <w:tcW w:w="844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E00448" w14:textId="77777777" w:rsidR="00283895" w:rsidRDefault="004432E6">
            <w:pPr>
              <w:widowControl/>
              <w:jc w:val="left"/>
              <w:textAlignment w:val="center"/>
              <w:rPr>
                <w:rFonts w:ascii="Times New Roman" w:eastAsia="仿宋_GB2312" w:hAnsi="Times New Roman" w:cs="Times New Roman"/>
                <w:szCs w:val="21"/>
              </w:rPr>
            </w:pPr>
            <w:r>
              <w:rPr>
                <w:rStyle w:val="font31"/>
                <w:rFonts w:ascii="Times New Roman" w:eastAsia="仿宋_GB2312" w:hAnsi="Times New Roman" w:cs="Times New Roman" w:hint="default"/>
                <w:color w:val="auto"/>
                <w:sz w:val="21"/>
                <w:szCs w:val="21"/>
              </w:rPr>
              <w:t>发生重特大服务质量事件，造成服务对象人身伤害或者重特大财产损失；</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113118" w14:textId="77777777" w:rsidR="00283895" w:rsidRDefault="004432E6">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20</w:t>
            </w:r>
          </w:p>
        </w:tc>
      </w:tr>
      <w:tr w:rsidR="00283895" w14:paraId="6433C37A" w14:textId="77777777">
        <w:trPr>
          <w:trHeight w:val="44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62F835" w14:textId="77777777" w:rsidR="00283895" w:rsidRDefault="004432E6">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hint="eastAsia"/>
                <w:szCs w:val="21"/>
              </w:rPr>
              <w:t>5</w:t>
            </w:r>
          </w:p>
        </w:tc>
        <w:tc>
          <w:tcPr>
            <w:tcW w:w="844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D8B34A" w14:textId="77777777" w:rsidR="00283895" w:rsidRDefault="004432E6">
            <w:pPr>
              <w:widowControl/>
              <w:jc w:val="left"/>
              <w:textAlignment w:val="center"/>
              <w:rPr>
                <w:rFonts w:ascii="Times New Roman" w:eastAsia="仿宋_GB2312" w:hAnsi="Times New Roman" w:cs="Times New Roman"/>
                <w:szCs w:val="21"/>
              </w:rPr>
            </w:pPr>
            <w:r>
              <w:rPr>
                <w:rStyle w:val="font12"/>
                <w:rFonts w:ascii="Times New Roman" w:eastAsia="仿宋_GB2312" w:hAnsi="Times New Roman" w:cs="Times New Roman" w:hint="default"/>
                <w:color w:val="auto"/>
                <w:sz w:val="21"/>
                <w:szCs w:val="21"/>
              </w:rPr>
              <w:t>在信用管理过程中，弄虚作假、拒不改正，情节严重的；</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62F3E6" w14:textId="77777777" w:rsidR="00283895" w:rsidRDefault="004432E6">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w:t>
            </w:r>
          </w:p>
        </w:tc>
      </w:tr>
      <w:tr w:rsidR="00283895" w14:paraId="51C0B9CF" w14:textId="77777777">
        <w:trPr>
          <w:trHeight w:val="42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DF0227" w14:textId="77777777" w:rsidR="00283895" w:rsidRDefault="004432E6">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hint="eastAsia"/>
                <w:szCs w:val="21"/>
              </w:rPr>
              <w:t>6</w:t>
            </w:r>
          </w:p>
        </w:tc>
        <w:tc>
          <w:tcPr>
            <w:tcW w:w="844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625C0B" w14:textId="77777777" w:rsidR="00283895" w:rsidRDefault="004432E6">
            <w:pPr>
              <w:widowControl/>
              <w:jc w:val="left"/>
              <w:textAlignment w:val="center"/>
              <w:rPr>
                <w:rFonts w:ascii="Times New Roman" w:eastAsia="仿宋_GB2312" w:hAnsi="Times New Roman" w:cs="Times New Roman"/>
                <w:szCs w:val="21"/>
              </w:rPr>
            </w:pPr>
            <w:r>
              <w:rPr>
                <w:rStyle w:val="font31"/>
                <w:rFonts w:ascii="Times New Roman" w:eastAsia="仿宋_GB2312" w:hAnsi="Times New Roman" w:cs="Times New Roman" w:hint="default"/>
                <w:color w:val="auto"/>
                <w:sz w:val="21"/>
                <w:szCs w:val="21"/>
              </w:rPr>
              <w:t>其他发生本办法规定的严重失信行为或者符合省级以上交通运输主管部门规定的失信联合惩戒对象名单条件的。</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7215F2" w14:textId="77777777" w:rsidR="00283895" w:rsidRDefault="004432E6">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r>
      <w:tr w:rsidR="00283895" w14:paraId="6F5E0FFC" w14:textId="77777777">
        <w:trPr>
          <w:trHeight w:val="297"/>
        </w:trPr>
        <w:tc>
          <w:tcPr>
            <w:tcW w:w="906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A50C52" w14:textId="77777777" w:rsidR="00283895" w:rsidRDefault="004432E6">
            <w:pPr>
              <w:widowControl/>
              <w:jc w:val="right"/>
              <w:textAlignment w:val="center"/>
              <w:rPr>
                <w:rFonts w:ascii="Times New Roman" w:eastAsia="仿宋_GB2312" w:hAnsi="Times New Roman" w:cs="Times New Roman"/>
                <w:szCs w:val="21"/>
              </w:rPr>
            </w:pPr>
            <w:r>
              <w:rPr>
                <w:rFonts w:ascii="Times New Roman" w:eastAsia="仿宋_GB2312" w:hAnsi="Times New Roman" w:cs="Times New Roman" w:hint="eastAsia"/>
                <w:szCs w:val="21"/>
              </w:rPr>
              <w:t>其他失信行为记分值累计</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D6829F" w14:textId="77777777" w:rsidR="00283895" w:rsidRDefault="004432E6">
            <w:pPr>
              <w:widowControl/>
              <w:jc w:val="center"/>
              <w:textAlignment w:val="center"/>
              <w:rPr>
                <w:rFonts w:ascii="Times New Roman" w:eastAsia="仿宋_GB2312" w:hAnsi="Times New Roman" w:cs="Times New Roman"/>
                <w:szCs w:val="21"/>
              </w:rPr>
            </w:pPr>
            <w:r>
              <w:rPr>
                <w:rStyle w:val="font21"/>
                <w:rFonts w:ascii="仿宋_GB2312" w:eastAsia="仿宋_GB2312" w:hAnsi="Times New Roman" w:cs="Times New Roman" w:hint="default"/>
                <w:color w:val="auto"/>
                <w:sz w:val="24"/>
                <w:szCs w:val="24"/>
              </w:rPr>
              <w:t>Ⅱ</w:t>
            </w:r>
          </w:p>
        </w:tc>
      </w:tr>
      <w:tr w:rsidR="00283895" w14:paraId="16B8C9AD" w14:textId="77777777">
        <w:trPr>
          <w:trHeight w:val="300"/>
        </w:trPr>
        <w:tc>
          <w:tcPr>
            <w:tcW w:w="996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982B10" w14:textId="77777777" w:rsidR="00283895" w:rsidRDefault="004432E6">
            <w:pPr>
              <w:widowControl/>
              <w:jc w:val="left"/>
              <w:textAlignment w:val="center"/>
              <w:rPr>
                <w:rFonts w:ascii="Times New Roman" w:eastAsia="黑体" w:hAnsi="Times New Roman" w:cs="Times New Roman"/>
                <w:kern w:val="0"/>
                <w:sz w:val="24"/>
              </w:rPr>
            </w:pPr>
            <w:r>
              <w:rPr>
                <w:rFonts w:ascii="Times New Roman" w:eastAsia="黑体" w:hAnsi="Times New Roman" w:cs="Times New Roman" w:hint="eastAsia"/>
                <w:kern w:val="0"/>
              </w:rPr>
              <w:t>三、加分项</w:t>
            </w:r>
          </w:p>
        </w:tc>
      </w:tr>
      <w:tr w:rsidR="00283895" w14:paraId="71E95416" w14:textId="77777777">
        <w:trPr>
          <w:trHeight w:val="300"/>
        </w:trPr>
        <w:tc>
          <w:tcPr>
            <w:tcW w:w="755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1DA28D" w14:textId="77777777" w:rsidR="00283895" w:rsidRDefault="004432E6">
            <w:pPr>
              <w:widowControl/>
              <w:jc w:val="center"/>
              <w:textAlignment w:val="center"/>
              <w:rPr>
                <w:rFonts w:ascii="Times New Roman" w:eastAsia="仿宋_GB2312" w:hAnsi="Times New Roman" w:cs="Times New Roman"/>
                <w:b/>
                <w:sz w:val="24"/>
              </w:rPr>
            </w:pPr>
            <w:r>
              <w:rPr>
                <w:rFonts w:ascii="Times New Roman" w:eastAsia="仿宋_GB2312" w:hAnsi="Times New Roman" w:cs="Times New Roman" w:hint="eastAsia"/>
                <w:b/>
                <w:kern w:val="0"/>
                <w:sz w:val="24"/>
              </w:rPr>
              <w:t>加分内容</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F1D79B" w14:textId="77777777" w:rsidR="00283895" w:rsidRDefault="004432E6">
            <w:pPr>
              <w:widowControl/>
              <w:jc w:val="center"/>
              <w:textAlignment w:val="center"/>
              <w:rPr>
                <w:rFonts w:ascii="Times New Roman" w:eastAsia="仿宋_GB2312" w:hAnsi="Times New Roman" w:cs="Times New Roman"/>
                <w:b/>
                <w:sz w:val="24"/>
              </w:rPr>
            </w:pPr>
            <w:r>
              <w:rPr>
                <w:rFonts w:ascii="Times New Roman" w:eastAsia="仿宋_GB2312" w:hAnsi="Times New Roman" w:cs="Times New Roman" w:hint="eastAsia"/>
                <w:b/>
                <w:kern w:val="0"/>
                <w:sz w:val="24"/>
              </w:rPr>
              <w:t>说明</w:t>
            </w:r>
          </w:p>
        </w:tc>
      </w:tr>
      <w:tr w:rsidR="00283895" w14:paraId="3ADC2B2D" w14:textId="77777777">
        <w:trPr>
          <w:trHeight w:val="300"/>
        </w:trPr>
        <w:tc>
          <w:tcPr>
            <w:tcW w:w="755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4BB6B9" w14:textId="77777777" w:rsidR="00283895" w:rsidRDefault="004432E6">
            <w:pPr>
              <w:widowControl/>
              <w:jc w:val="left"/>
              <w:textAlignment w:val="center"/>
              <w:rPr>
                <w:rFonts w:ascii="Times New Roman" w:eastAsia="仿宋_GB2312" w:hAnsi="Times New Roman" w:cs="Times New Roman"/>
                <w:b/>
                <w:kern w:val="0"/>
                <w:sz w:val="24"/>
              </w:rPr>
            </w:pPr>
            <w:r>
              <w:rPr>
                <w:rStyle w:val="font31"/>
                <w:rFonts w:ascii="Times New Roman" w:eastAsia="仿宋_GB2312" w:hAnsi="Times New Roman" w:cs="Times New Roman" w:hint="default"/>
                <w:color w:val="auto"/>
                <w:sz w:val="21"/>
                <w:szCs w:val="21"/>
              </w:rPr>
              <w:t>（一）企业获得省、部级及以上荣誉称号的，加</w:t>
            </w:r>
            <w:r>
              <w:rPr>
                <w:rStyle w:val="font111"/>
                <w:rFonts w:eastAsia="仿宋_GB2312"/>
                <w:color w:val="auto"/>
                <w:sz w:val="21"/>
                <w:szCs w:val="21"/>
              </w:rPr>
              <w:t>5</w:t>
            </w:r>
            <w:r>
              <w:rPr>
                <w:rStyle w:val="font31"/>
                <w:rFonts w:ascii="Times New Roman" w:eastAsia="仿宋_GB2312" w:hAnsi="Times New Roman" w:cs="Times New Roman" w:hint="default"/>
                <w:color w:val="auto"/>
                <w:sz w:val="21"/>
                <w:szCs w:val="21"/>
              </w:rPr>
              <w:t>分；获得地市级荣誉称号的，加</w:t>
            </w:r>
            <w:r>
              <w:rPr>
                <w:rStyle w:val="font111"/>
                <w:rFonts w:eastAsia="仿宋_GB2312"/>
                <w:color w:val="auto"/>
                <w:sz w:val="21"/>
                <w:szCs w:val="21"/>
              </w:rPr>
              <w:t>2</w:t>
            </w:r>
            <w:r>
              <w:rPr>
                <w:rStyle w:val="font31"/>
                <w:rFonts w:ascii="Times New Roman" w:eastAsia="仿宋_GB2312" w:hAnsi="Times New Roman" w:cs="Times New Roman" w:hint="default"/>
                <w:color w:val="auto"/>
                <w:sz w:val="21"/>
                <w:szCs w:val="21"/>
              </w:rPr>
              <w:t>分；获得县级荣誉称号的，加</w:t>
            </w:r>
            <w:r>
              <w:rPr>
                <w:rStyle w:val="font111"/>
                <w:rFonts w:eastAsia="仿宋_GB2312"/>
                <w:color w:val="auto"/>
                <w:sz w:val="21"/>
                <w:szCs w:val="21"/>
              </w:rPr>
              <w:t>1</w:t>
            </w:r>
            <w:r>
              <w:rPr>
                <w:rStyle w:val="font31"/>
                <w:rFonts w:ascii="Times New Roman" w:eastAsia="仿宋_GB2312" w:hAnsi="Times New Roman" w:cs="Times New Roman" w:hint="default"/>
                <w:color w:val="auto"/>
                <w:sz w:val="21"/>
                <w:szCs w:val="21"/>
              </w:rPr>
              <w:t>分；企业所属车队、从业人员获得地市级以上荣誉称号的每次加</w:t>
            </w:r>
            <w:r>
              <w:rPr>
                <w:rStyle w:val="font111"/>
                <w:rFonts w:eastAsia="仿宋_GB2312"/>
                <w:color w:val="auto"/>
                <w:sz w:val="21"/>
                <w:szCs w:val="21"/>
              </w:rPr>
              <w:t>1</w:t>
            </w:r>
            <w:r>
              <w:rPr>
                <w:rStyle w:val="font31"/>
                <w:rFonts w:ascii="Times New Roman" w:eastAsia="仿宋_GB2312" w:hAnsi="Times New Roman" w:cs="Times New Roman" w:hint="default"/>
                <w:color w:val="auto"/>
                <w:sz w:val="21"/>
                <w:szCs w:val="21"/>
              </w:rPr>
              <w:t>分。以上加分项加到</w:t>
            </w:r>
            <w:r>
              <w:rPr>
                <w:rStyle w:val="font111"/>
                <w:rFonts w:eastAsia="仿宋_GB2312"/>
                <w:color w:val="auto"/>
                <w:sz w:val="21"/>
                <w:szCs w:val="21"/>
              </w:rPr>
              <w:t>5</w:t>
            </w:r>
            <w:r>
              <w:rPr>
                <w:rStyle w:val="font31"/>
                <w:rFonts w:ascii="Times New Roman" w:eastAsia="仿宋_GB2312" w:hAnsi="Times New Roman" w:cs="Times New Roman" w:hint="default"/>
                <w:color w:val="auto"/>
                <w:sz w:val="21"/>
                <w:szCs w:val="21"/>
              </w:rPr>
              <w:t>分为止。</w:t>
            </w:r>
          </w:p>
        </w:tc>
        <w:tc>
          <w:tcPr>
            <w:tcW w:w="2412"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6AD8BE2" w14:textId="77777777" w:rsidR="00283895" w:rsidRDefault="004432E6">
            <w:pPr>
              <w:widowControl/>
              <w:jc w:val="left"/>
              <w:textAlignment w:val="center"/>
              <w:rPr>
                <w:rFonts w:ascii="Times New Roman" w:eastAsia="仿宋_GB2312" w:hAnsi="Times New Roman" w:cs="Times New Roman"/>
                <w:b/>
                <w:kern w:val="0"/>
                <w:sz w:val="24"/>
              </w:rPr>
            </w:pPr>
            <w:r>
              <w:rPr>
                <w:rStyle w:val="font61"/>
                <w:rFonts w:ascii="Times New Roman" w:eastAsia="仿宋_GB2312" w:hAnsi="Times New Roman" w:cs="Times New Roman" w:hint="default"/>
                <w:color w:val="auto"/>
                <w:sz w:val="21"/>
                <w:szCs w:val="21"/>
              </w:rPr>
              <w:t>评定周期内，可以一次加分</w:t>
            </w:r>
            <w:r>
              <w:rPr>
                <w:rStyle w:val="font122"/>
                <w:rFonts w:eastAsia="仿宋_GB2312"/>
                <w:color w:val="auto"/>
                <w:sz w:val="21"/>
                <w:szCs w:val="21"/>
              </w:rPr>
              <w:t>1</w:t>
            </w:r>
            <w:r>
              <w:rPr>
                <w:rStyle w:val="font61"/>
                <w:rFonts w:ascii="Times New Roman" w:eastAsia="仿宋_GB2312" w:hAnsi="Times New Roman" w:cs="Times New Roman" w:hint="default"/>
                <w:color w:val="auto"/>
                <w:sz w:val="21"/>
                <w:szCs w:val="21"/>
              </w:rPr>
              <w:t>至</w:t>
            </w:r>
            <w:r>
              <w:rPr>
                <w:rStyle w:val="font122"/>
                <w:rFonts w:eastAsia="仿宋_GB2312"/>
                <w:color w:val="auto"/>
                <w:sz w:val="21"/>
                <w:szCs w:val="21"/>
              </w:rPr>
              <w:t>5</w:t>
            </w:r>
            <w:r>
              <w:rPr>
                <w:rStyle w:val="font61"/>
                <w:rFonts w:ascii="Times New Roman" w:eastAsia="仿宋_GB2312" w:hAnsi="Times New Roman" w:cs="Times New Roman" w:hint="default"/>
                <w:color w:val="auto"/>
                <w:sz w:val="21"/>
                <w:szCs w:val="21"/>
              </w:rPr>
              <w:t>分。同一事项，按照最高加分值计算，累积加分值不超过</w:t>
            </w:r>
            <w:r>
              <w:rPr>
                <w:rStyle w:val="font122"/>
                <w:rFonts w:eastAsia="仿宋_GB2312"/>
                <w:color w:val="auto"/>
                <w:sz w:val="21"/>
                <w:szCs w:val="21"/>
              </w:rPr>
              <w:t>10</w:t>
            </w:r>
            <w:r>
              <w:rPr>
                <w:rStyle w:val="font61"/>
                <w:rFonts w:ascii="Times New Roman" w:eastAsia="仿宋_GB2312" w:hAnsi="Times New Roman" w:cs="Times New Roman" w:hint="default"/>
                <w:color w:val="auto"/>
                <w:sz w:val="21"/>
                <w:szCs w:val="21"/>
              </w:rPr>
              <w:t>分。</w:t>
            </w:r>
          </w:p>
        </w:tc>
      </w:tr>
      <w:tr w:rsidR="00283895" w14:paraId="163C667A" w14:textId="77777777">
        <w:trPr>
          <w:trHeight w:val="300"/>
        </w:trPr>
        <w:tc>
          <w:tcPr>
            <w:tcW w:w="755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714187" w14:textId="77777777" w:rsidR="00283895" w:rsidRDefault="004432E6">
            <w:pPr>
              <w:widowControl/>
              <w:jc w:val="left"/>
              <w:textAlignment w:val="center"/>
              <w:rPr>
                <w:rFonts w:ascii="Times New Roman" w:eastAsia="仿宋_GB2312" w:hAnsi="Times New Roman" w:cs="Times New Roman"/>
                <w:b/>
                <w:kern w:val="0"/>
                <w:sz w:val="24"/>
              </w:rPr>
            </w:pPr>
            <w:r>
              <w:rPr>
                <w:rStyle w:val="font31"/>
                <w:rFonts w:ascii="Times New Roman" w:eastAsia="仿宋_GB2312" w:hAnsi="Times New Roman" w:cs="Times New Roman" w:hint="default"/>
                <w:color w:val="auto"/>
                <w:sz w:val="21"/>
                <w:szCs w:val="21"/>
              </w:rPr>
              <w:t>（二）企业按规定完成政府指令性运输任务起表率作用的，或积极组织参加抢险救灾、赈灾、救死扶伤、优质服务等具有较大社会影响的公益活动，每参加一次加</w:t>
            </w:r>
            <w:r>
              <w:rPr>
                <w:rStyle w:val="font111"/>
                <w:rFonts w:eastAsia="仿宋_GB2312"/>
                <w:color w:val="auto"/>
                <w:sz w:val="21"/>
                <w:szCs w:val="21"/>
              </w:rPr>
              <w:t>1</w:t>
            </w:r>
            <w:r>
              <w:rPr>
                <w:rStyle w:val="font31"/>
                <w:rFonts w:ascii="Times New Roman" w:eastAsia="仿宋_GB2312" w:hAnsi="Times New Roman" w:cs="Times New Roman" w:hint="default"/>
                <w:color w:val="auto"/>
                <w:sz w:val="21"/>
                <w:szCs w:val="21"/>
              </w:rPr>
              <w:t>分。以上加分项加到</w:t>
            </w:r>
            <w:r>
              <w:rPr>
                <w:rStyle w:val="font111"/>
                <w:rFonts w:eastAsia="仿宋_GB2312"/>
                <w:color w:val="auto"/>
                <w:sz w:val="21"/>
                <w:szCs w:val="21"/>
              </w:rPr>
              <w:t>5</w:t>
            </w:r>
            <w:r>
              <w:rPr>
                <w:rStyle w:val="font31"/>
                <w:rFonts w:ascii="Times New Roman" w:eastAsia="仿宋_GB2312" w:hAnsi="Times New Roman" w:cs="Times New Roman" w:hint="default"/>
                <w:color w:val="auto"/>
                <w:sz w:val="21"/>
                <w:szCs w:val="21"/>
              </w:rPr>
              <w:t>分为止。</w:t>
            </w:r>
          </w:p>
        </w:tc>
        <w:tc>
          <w:tcPr>
            <w:tcW w:w="2412"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EBAC43" w14:textId="77777777" w:rsidR="00283895" w:rsidRDefault="00283895">
            <w:pPr>
              <w:widowControl/>
              <w:jc w:val="center"/>
              <w:textAlignment w:val="center"/>
              <w:rPr>
                <w:rFonts w:ascii="Times New Roman" w:eastAsia="仿宋_GB2312" w:hAnsi="Times New Roman" w:cs="Times New Roman"/>
                <w:b/>
                <w:kern w:val="0"/>
                <w:sz w:val="24"/>
              </w:rPr>
            </w:pPr>
          </w:p>
        </w:tc>
      </w:tr>
      <w:tr w:rsidR="00283895" w14:paraId="73735D87" w14:textId="77777777">
        <w:trPr>
          <w:trHeight w:val="347"/>
        </w:trPr>
        <w:tc>
          <w:tcPr>
            <w:tcW w:w="755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340B85" w14:textId="77777777" w:rsidR="00283895" w:rsidRDefault="004432E6">
            <w:pPr>
              <w:widowControl/>
              <w:jc w:val="right"/>
              <w:textAlignment w:val="center"/>
              <w:rPr>
                <w:rFonts w:ascii="Times New Roman" w:eastAsia="仿宋_GB2312" w:hAnsi="Times New Roman" w:cs="Times New Roman"/>
                <w:szCs w:val="21"/>
              </w:rPr>
            </w:pPr>
            <w:r>
              <w:rPr>
                <w:rStyle w:val="font31"/>
                <w:rFonts w:ascii="Times New Roman" w:eastAsia="仿宋_GB2312" w:hAnsi="Times New Roman" w:cs="Times New Roman" w:hint="default"/>
                <w:color w:val="auto"/>
                <w:sz w:val="21"/>
                <w:szCs w:val="21"/>
              </w:rPr>
              <w:t>加分项分值累计</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AC5CF" w14:textId="77777777" w:rsidR="00283895" w:rsidRDefault="004432E6">
            <w:pPr>
              <w:widowControl/>
              <w:jc w:val="center"/>
              <w:textAlignment w:val="center"/>
              <w:rPr>
                <w:rFonts w:ascii="Times New Roman" w:eastAsia="仿宋_GB2312" w:hAnsi="Times New Roman" w:cs="Times New Roman"/>
                <w:b/>
                <w:szCs w:val="21"/>
              </w:rPr>
            </w:pPr>
            <w:r>
              <w:rPr>
                <w:rStyle w:val="font21"/>
                <w:rFonts w:hint="default"/>
                <w:color w:val="auto"/>
                <w:sz w:val="24"/>
                <w:szCs w:val="24"/>
              </w:rPr>
              <w:t>Ⅲ</w:t>
            </w:r>
          </w:p>
        </w:tc>
      </w:tr>
      <w:tr w:rsidR="00283895" w14:paraId="18B4BBCF" w14:textId="77777777">
        <w:trPr>
          <w:trHeight w:val="288"/>
        </w:trPr>
        <w:tc>
          <w:tcPr>
            <w:tcW w:w="996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D80140" w14:textId="77777777" w:rsidR="00283895" w:rsidRDefault="004432E6">
            <w:pPr>
              <w:widowControl/>
              <w:jc w:val="center"/>
              <w:textAlignment w:val="center"/>
              <w:rPr>
                <w:rFonts w:ascii="Times New Roman" w:eastAsia="黑体" w:hAnsi="Times New Roman" w:cs="Times New Roman"/>
                <w:kern w:val="0"/>
                <w:sz w:val="24"/>
              </w:rPr>
            </w:pPr>
            <w:r>
              <w:rPr>
                <w:rFonts w:ascii="Times New Roman" w:eastAsia="黑体" w:hAnsi="Times New Roman" w:cs="Times New Roman" w:hint="eastAsia"/>
                <w:b/>
                <w:kern w:val="0"/>
              </w:rPr>
              <w:t>信用得分计算公式</w:t>
            </w:r>
          </w:p>
        </w:tc>
      </w:tr>
      <w:tr w:rsidR="00283895" w14:paraId="52FD6A9C" w14:textId="77777777">
        <w:trPr>
          <w:trHeight w:val="828"/>
        </w:trPr>
        <w:tc>
          <w:tcPr>
            <w:tcW w:w="996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BD2E09" w14:textId="09749501" w:rsidR="006633EA" w:rsidRDefault="004432E6" w:rsidP="006633EA">
            <w:pPr>
              <w:widowControl/>
              <w:jc w:val="left"/>
              <w:textAlignment w:val="center"/>
              <w:rPr>
                <w:rStyle w:val="font31"/>
                <w:rFonts w:ascii="Times New Roman" w:eastAsia="仿宋_GB2312" w:hAnsi="Times New Roman" w:cs="Times New Roman" w:hint="default"/>
                <w:color w:val="auto"/>
                <w:sz w:val="21"/>
                <w:szCs w:val="21"/>
              </w:rPr>
            </w:pPr>
            <w:r>
              <w:rPr>
                <w:rStyle w:val="font31"/>
                <w:rFonts w:ascii="Times New Roman" w:eastAsia="仿宋_GB2312" w:hAnsi="Times New Roman" w:cs="Times New Roman" w:hint="default"/>
                <w:color w:val="auto"/>
                <w:sz w:val="21"/>
                <w:szCs w:val="21"/>
              </w:rPr>
              <w:t>道路客运经营者、道路普通货物运输经营者、道路危险货物运输经营者、公共汽车客运经营者、机动车驾驶培训经营者</w:t>
            </w:r>
          </w:p>
          <w:p w14:paraId="4C0F9B41" w14:textId="59031104" w:rsidR="00283895" w:rsidRPr="006633EA" w:rsidRDefault="004432E6" w:rsidP="006633EA">
            <w:pPr>
              <w:widowControl/>
              <w:jc w:val="center"/>
              <w:textAlignment w:val="center"/>
              <w:rPr>
                <w:rStyle w:val="font31"/>
                <w:rFonts w:ascii="Times New Roman" w:eastAsia="仿宋_GB2312" w:hAnsi="Times New Roman" w:cs="Times New Roman" w:hint="default"/>
                <w:b/>
                <w:color w:val="auto"/>
                <w:sz w:val="21"/>
                <w:szCs w:val="21"/>
              </w:rPr>
            </w:pPr>
            <w:r w:rsidRPr="006633EA">
              <w:rPr>
                <w:rStyle w:val="font31"/>
                <w:rFonts w:ascii="Times New Roman" w:eastAsia="仿宋_GB2312" w:hAnsi="Times New Roman" w:cs="Times New Roman" w:hint="default"/>
                <w:b/>
                <w:color w:val="auto"/>
                <w:sz w:val="21"/>
                <w:szCs w:val="21"/>
              </w:rPr>
              <w:t>信用得分</w:t>
            </w:r>
            <w:r w:rsidRPr="006633EA">
              <w:rPr>
                <w:rStyle w:val="font31"/>
                <w:rFonts w:ascii="Times New Roman" w:eastAsia="仿宋_GB2312" w:hAnsi="Times New Roman" w:cs="Times New Roman" w:hint="default"/>
                <w:b/>
                <w:color w:val="auto"/>
                <w:sz w:val="21"/>
                <w:szCs w:val="21"/>
              </w:rPr>
              <w:t>=100-[</w:t>
            </w:r>
            <w:r w:rsidRPr="006633EA">
              <w:rPr>
                <w:rStyle w:val="font31"/>
                <w:rFonts w:ascii="Times New Roman" w:eastAsia="仿宋_GB2312" w:hAnsi="Times New Roman" w:cs="Times New Roman" w:hint="default"/>
                <w:b/>
                <w:color w:val="auto"/>
                <w:sz w:val="21"/>
                <w:szCs w:val="21"/>
              </w:rPr>
              <w:t>（</w:t>
            </w:r>
            <w:r w:rsidRPr="006633EA">
              <w:rPr>
                <w:rStyle w:val="font31"/>
                <w:rFonts w:ascii="Times New Roman" w:eastAsia="仿宋_GB2312" w:hAnsi="Times New Roman" w:cs="Times New Roman" w:hint="default"/>
                <w:b/>
                <w:color w:val="auto"/>
                <w:sz w:val="21"/>
                <w:szCs w:val="21"/>
              </w:rPr>
              <w:t>Ⅰ+Ⅱ</w:t>
            </w:r>
            <w:r w:rsidRPr="006633EA">
              <w:rPr>
                <w:rStyle w:val="font31"/>
                <w:rFonts w:ascii="Times New Roman" w:eastAsia="仿宋_GB2312" w:hAnsi="Times New Roman" w:cs="Times New Roman" w:hint="default"/>
                <w:b/>
                <w:color w:val="auto"/>
                <w:sz w:val="21"/>
                <w:szCs w:val="21"/>
              </w:rPr>
              <w:t>）</w:t>
            </w:r>
            <w:r w:rsidRPr="006633EA">
              <w:rPr>
                <w:rStyle w:val="font31"/>
                <w:rFonts w:ascii="Times New Roman" w:eastAsia="仿宋_GB2312" w:hAnsi="Times New Roman" w:cs="Times New Roman" w:hint="default"/>
                <w:b/>
                <w:color w:val="auto"/>
                <w:sz w:val="21"/>
                <w:szCs w:val="21"/>
              </w:rPr>
              <w:t>÷</w:t>
            </w:r>
            <w:r w:rsidRPr="006633EA">
              <w:rPr>
                <w:rStyle w:val="font31"/>
                <w:rFonts w:ascii="Times New Roman" w:eastAsia="仿宋_GB2312" w:hAnsi="Times New Roman" w:cs="Times New Roman" w:hint="default"/>
                <w:b/>
                <w:color w:val="auto"/>
                <w:sz w:val="21"/>
                <w:szCs w:val="21"/>
              </w:rPr>
              <w:t>业户车辆数</w:t>
            </w:r>
            <w:r w:rsidRPr="006633EA">
              <w:rPr>
                <w:rStyle w:val="font31"/>
                <w:rFonts w:ascii="Times New Roman" w:eastAsia="仿宋_GB2312" w:hAnsi="Times New Roman" w:cs="Times New Roman" w:hint="default"/>
                <w:b/>
                <w:color w:val="auto"/>
                <w:sz w:val="21"/>
                <w:szCs w:val="21"/>
              </w:rPr>
              <w:t>×</w:t>
            </w:r>
            <w:r w:rsidR="00BD5E8A">
              <w:rPr>
                <w:rStyle w:val="font31"/>
                <w:rFonts w:ascii="Times New Roman" w:eastAsia="仿宋_GB2312" w:hAnsi="Times New Roman" w:cs="Times New Roman" w:hint="default"/>
                <w:b/>
                <w:color w:val="auto"/>
                <w:sz w:val="21"/>
                <w:szCs w:val="21"/>
              </w:rPr>
              <w:t>N</w:t>
            </w:r>
            <w:r w:rsidRPr="006633EA">
              <w:rPr>
                <w:rStyle w:val="font31"/>
                <w:rFonts w:ascii="Times New Roman" w:eastAsia="仿宋_GB2312" w:hAnsi="Times New Roman" w:cs="Times New Roman" w:hint="default"/>
                <w:b/>
                <w:color w:val="auto"/>
                <w:sz w:val="21"/>
                <w:szCs w:val="21"/>
              </w:rPr>
              <w:t>]+Ⅲ</w:t>
            </w:r>
          </w:p>
          <w:p w14:paraId="6895B995" w14:textId="150F9C69" w:rsidR="006633EA" w:rsidRPr="006633EA" w:rsidRDefault="006633EA" w:rsidP="006633EA">
            <w:pPr>
              <w:pStyle w:val="TOC1"/>
              <w:jc w:val="left"/>
              <w:rPr>
                <w:rStyle w:val="font31"/>
                <w:rFonts w:ascii="Times New Roman" w:eastAsia="仿宋_GB2312" w:hAnsi="Times New Roman" w:cs="Times New Roman" w:hint="default"/>
                <w:color w:val="auto"/>
                <w:sz w:val="21"/>
                <w:szCs w:val="21"/>
              </w:rPr>
            </w:pPr>
            <w:r>
              <w:rPr>
                <w:rStyle w:val="font31"/>
                <w:rFonts w:ascii="Times New Roman" w:eastAsia="仿宋_GB2312" w:hAnsi="Times New Roman" w:cs="Times New Roman" w:hint="default"/>
                <w:color w:val="auto"/>
                <w:sz w:val="21"/>
                <w:szCs w:val="21"/>
              </w:rPr>
              <w:t>注：</w:t>
            </w:r>
            <w:r w:rsidR="00BD5E8A">
              <w:rPr>
                <w:rStyle w:val="font31"/>
                <w:rFonts w:ascii="Times New Roman" w:eastAsia="仿宋_GB2312" w:hAnsi="Times New Roman" w:cs="Times New Roman" w:hint="default"/>
                <w:color w:val="auto"/>
                <w:sz w:val="21"/>
                <w:szCs w:val="21"/>
              </w:rPr>
              <w:t>N</w:t>
            </w:r>
            <w:r>
              <w:rPr>
                <w:rStyle w:val="font31"/>
                <w:rFonts w:ascii="Times New Roman" w:eastAsia="仿宋_GB2312" w:hAnsi="Times New Roman" w:cs="Times New Roman" w:hint="default"/>
                <w:color w:val="auto"/>
                <w:sz w:val="21"/>
                <w:szCs w:val="21"/>
              </w:rPr>
              <w:t>为系数</w:t>
            </w:r>
            <w:r w:rsidR="00BD5E8A">
              <w:rPr>
                <w:rStyle w:val="font31"/>
                <w:rFonts w:ascii="Times New Roman" w:eastAsia="仿宋_GB2312" w:hAnsi="Times New Roman" w:cs="Times New Roman" w:hint="default"/>
                <w:color w:val="auto"/>
                <w:sz w:val="21"/>
                <w:szCs w:val="21"/>
              </w:rPr>
              <w:t>，</w:t>
            </w:r>
            <w:r w:rsidR="00002C75">
              <w:rPr>
                <w:rStyle w:val="font31"/>
                <w:rFonts w:ascii="Times New Roman" w:eastAsia="仿宋_GB2312" w:hAnsi="Times New Roman" w:cs="Times New Roman" w:hint="default"/>
                <w:color w:val="auto"/>
                <w:sz w:val="21"/>
                <w:szCs w:val="21"/>
              </w:rPr>
              <w:t>根据测算结果</w:t>
            </w:r>
            <w:r w:rsidR="00BD5E8A">
              <w:rPr>
                <w:rStyle w:val="font31"/>
                <w:rFonts w:ascii="Times New Roman" w:eastAsia="仿宋_GB2312" w:hAnsi="Times New Roman" w:cs="Times New Roman" w:hint="default"/>
                <w:color w:val="auto"/>
                <w:sz w:val="21"/>
                <w:szCs w:val="21"/>
              </w:rPr>
              <w:t>现定为</w:t>
            </w:r>
            <w:r w:rsidR="00BD5E8A">
              <w:rPr>
                <w:rStyle w:val="font31"/>
                <w:rFonts w:ascii="Times New Roman" w:eastAsia="仿宋_GB2312" w:hAnsi="Times New Roman" w:cs="Times New Roman" w:hint="default"/>
                <w:color w:val="auto"/>
                <w:sz w:val="21"/>
                <w:szCs w:val="21"/>
              </w:rPr>
              <w:t>18</w:t>
            </w:r>
            <w:r>
              <w:rPr>
                <w:rStyle w:val="font31"/>
                <w:rFonts w:ascii="Times New Roman" w:eastAsia="仿宋_GB2312" w:hAnsi="Times New Roman" w:cs="Times New Roman" w:hint="default"/>
                <w:color w:val="auto"/>
                <w:sz w:val="21"/>
                <w:szCs w:val="21"/>
              </w:rPr>
              <w:t>。省级交通运输主管部门将在对全省道路运输行业体量及信用记分、加分整体情况统筹考量的基础上，适时</w:t>
            </w:r>
            <w:r w:rsidR="00BD5E8A">
              <w:rPr>
                <w:rStyle w:val="font31"/>
                <w:rFonts w:ascii="Times New Roman" w:eastAsia="仿宋_GB2312" w:hAnsi="Times New Roman" w:cs="Times New Roman" w:hint="default"/>
                <w:color w:val="auto"/>
                <w:sz w:val="21"/>
                <w:szCs w:val="21"/>
              </w:rPr>
              <w:t>对</w:t>
            </w:r>
            <w:r>
              <w:rPr>
                <w:rStyle w:val="font31"/>
                <w:rFonts w:ascii="Times New Roman" w:eastAsia="仿宋_GB2312" w:hAnsi="Times New Roman" w:cs="Times New Roman" w:hint="default"/>
                <w:color w:val="auto"/>
                <w:sz w:val="21"/>
                <w:szCs w:val="21"/>
              </w:rPr>
              <w:t>系数</w:t>
            </w:r>
            <w:r w:rsidR="00BD5E8A">
              <w:rPr>
                <w:rStyle w:val="font31"/>
                <w:rFonts w:ascii="Times New Roman" w:eastAsia="仿宋_GB2312" w:hAnsi="Times New Roman" w:cs="Times New Roman" w:hint="default"/>
                <w:color w:val="auto"/>
                <w:sz w:val="21"/>
                <w:szCs w:val="21"/>
              </w:rPr>
              <w:t>进行</w:t>
            </w:r>
            <w:r>
              <w:rPr>
                <w:rStyle w:val="font31"/>
                <w:rFonts w:ascii="Times New Roman" w:eastAsia="仿宋_GB2312" w:hAnsi="Times New Roman" w:cs="Times New Roman" w:hint="default"/>
                <w:color w:val="auto"/>
                <w:sz w:val="21"/>
                <w:szCs w:val="21"/>
              </w:rPr>
              <w:t>调整。</w:t>
            </w:r>
          </w:p>
        </w:tc>
      </w:tr>
      <w:tr w:rsidR="00283895" w14:paraId="6D41DF20" w14:textId="77777777">
        <w:trPr>
          <w:trHeight w:val="828"/>
        </w:trPr>
        <w:tc>
          <w:tcPr>
            <w:tcW w:w="996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EFC893" w14:textId="77777777" w:rsidR="00283895" w:rsidRDefault="004432E6">
            <w:pPr>
              <w:rPr>
                <w:rStyle w:val="font31"/>
                <w:rFonts w:ascii="Times New Roman" w:eastAsia="仿宋_GB2312" w:hAnsi="Times New Roman" w:cs="Times New Roman" w:hint="default"/>
                <w:color w:val="auto"/>
                <w:sz w:val="21"/>
                <w:szCs w:val="21"/>
              </w:rPr>
            </w:pPr>
            <w:r>
              <w:rPr>
                <w:rStyle w:val="font31"/>
                <w:rFonts w:ascii="Times New Roman" w:eastAsia="仿宋_GB2312" w:hAnsi="Times New Roman" w:cs="Times New Roman" w:hint="default"/>
                <w:color w:val="auto"/>
                <w:sz w:val="21"/>
                <w:szCs w:val="21"/>
              </w:rPr>
              <w:t>网络平台道路货物运输经营者、机动车维修经营者、汽车客运站经营者</w:t>
            </w:r>
          </w:p>
          <w:p w14:paraId="2FEE8A71" w14:textId="77777777" w:rsidR="00283895" w:rsidRDefault="004432E6">
            <w:pPr>
              <w:widowControl/>
              <w:jc w:val="center"/>
              <w:textAlignment w:val="center"/>
              <w:rPr>
                <w:rStyle w:val="font31"/>
                <w:rFonts w:ascii="Times New Roman" w:eastAsia="仿宋_GB2312" w:hAnsi="Times New Roman" w:cs="Times New Roman" w:hint="default"/>
                <w:color w:val="auto"/>
                <w:sz w:val="21"/>
                <w:szCs w:val="21"/>
              </w:rPr>
            </w:pPr>
            <w:r>
              <w:rPr>
                <w:rStyle w:val="font21"/>
                <w:rFonts w:ascii="Times New Roman" w:eastAsia="仿宋_GB2312" w:hAnsi="Times New Roman" w:cs="Times New Roman" w:hint="default"/>
                <w:color w:val="auto"/>
                <w:sz w:val="24"/>
                <w:szCs w:val="24"/>
              </w:rPr>
              <w:t>信用得分</w:t>
            </w:r>
            <w:r>
              <w:rPr>
                <w:rStyle w:val="font21"/>
                <w:rFonts w:ascii="Times New Roman" w:eastAsia="仿宋_GB2312" w:hAnsi="Times New Roman" w:cs="Times New Roman" w:hint="default"/>
                <w:color w:val="auto"/>
                <w:sz w:val="24"/>
                <w:szCs w:val="24"/>
              </w:rPr>
              <w:t>=100-</w:t>
            </w:r>
            <w:r>
              <w:rPr>
                <w:rStyle w:val="font21"/>
                <w:rFonts w:ascii="Times New Roman" w:eastAsia="仿宋_GB2312" w:hAnsi="Times New Roman" w:cs="Times New Roman" w:hint="default"/>
                <w:color w:val="auto"/>
                <w:sz w:val="24"/>
                <w:szCs w:val="24"/>
              </w:rPr>
              <w:t>（</w:t>
            </w:r>
            <w:r>
              <w:rPr>
                <w:rStyle w:val="font21"/>
                <w:rFonts w:hint="default"/>
                <w:color w:val="auto"/>
                <w:sz w:val="24"/>
                <w:szCs w:val="24"/>
              </w:rPr>
              <w:t>Ⅰ</w:t>
            </w:r>
            <w:r>
              <w:rPr>
                <w:rStyle w:val="font21"/>
                <w:rFonts w:ascii="Times New Roman" w:eastAsia="仿宋_GB2312" w:hAnsi="Times New Roman" w:cs="Times New Roman" w:hint="default"/>
                <w:color w:val="auto"/>
                <w:sz w:val="24"/>
                <w:szCs w:val="24"/>
              </w:rPr>
              <w:t>+</w:t>
            </w:r>
            <w:r>
              <w:rPr>
                <w:rStyle w:val="font21"/>
                <w:rFonts w:hint="default"/>
                <w:color w:val="auto"/>
                <w:sz w:val="24"/>
                <w:szCs w:val="24"/>
              </w:rPr>
              <w:t>Ⅱ</w:t>
            </w:r>
            <w:r>
              <w:rPr>
                <w:rStyle w:val="font21"/>
                <w:rFonts w:ascii="Times New Roman" w:eastAsia="仿宋_GB2312" w:hAnsi="Times New Roman" w:cs="Times New Roman" w:hint="default"/>
                <w:color w:val="auto"/>
                <w:sz w:val="24"/>
                <w:szCs w:val="24"/>
              </w:rPr>
              <w:t>）</w:t>
            </w:r>
            <w:r>
              <w:rPr>
                <w:rStyle w:val="font21"/>
                <w:rFonts w:ascii="Times New Roman" w:eastAsia="仿宋_GB2312" w:hAnsi="Times New Roman" w:cs="Times New Roman" w:hint="default"/>
                <w:color w:val="auto"/>
                <w:sz w:val="24"/>
                <w:szCs w:val="24"/>
              </w:rPr>
              <w:t>+</w:t>
            </w:r>
            <w:r>
              <w:rPr>
                <w:rStyle w:val="font21"/>
                <w:rFonts w:hint="default"/>
                <w:color w:val="auto"/>
                <w:sz w:val="24"/>
                <w:szCs w:val="24"/>
              </w:rPr>
              <w:t>Ⅲ</w:t>
            </w:r>
          </w:p>
        </w:tc>
      </w:tr>
    </w:tbl>
    <w:p w14:paraId="1319B2CF" w14:textId="77777777" w:rsidR="00283895" w:rsidRDefault="00283895">
      <w:pPr>
        <w:rPr>
          <w:rFonts w:ascii="Times New Roman" w:hAnsi="Times New Roman" w:cs="Times New Roman"/>
        </w:rPr>
      </w:pPr>
    </w:p>
    <w:sectPr w:rsidR="00283895">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0AF6B" w14:textId="77777777" w:rsidR="00BA3C7E" w:rsidRDefault="00BA3C7E" w:rsidP="006633EA">
      <w:r>
        <w:separator/>
      </w:r>
    </w:p>
  </w:endnote>
  <w:endnote w:type="continuationSeparator" w:id="0">
    <w:p w14:paraId="302847DD" w14:textId="77777777" w:rsidR="00BA3C7E" w:rsidRDefault="00BA3C7E" w:rsidP="0066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星标宋">
    <w:altName w:val="微软雅黑"/>
    <w:charset w:val="00"/>
    <w:family w:val="auto"/>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B9FBD" w14:textId="77777777" w:rsidR="00BA3C7E" w:rsidRDefault="00BA3C7E" w:rsidP="006633EA">
      <w:r>
        <w:separator/>
      </w:r>
    </w:p>
  </w:footnote>
  <w:footnote w:type="continuationSeparator" w:id="0">
    <w:p w14:paraId="7E786CB4" w14:textId="77777777" w:rsidR="00BA3C7E" w:rsidRDefault="00BA3C7E" w:rsidP="00663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633F5021"/>
    <w:rsid w:val="00002C75"/>
    <w:rsid w:val="00004E69"/>
    <w:rsid w:val="0001563A"/>
    <w:rsid w:val="00061D5A"/>
    <w:rsid w:val="000757B9"/>
    <w:rsid w:val="000A11D6"/>
    <w:rsid w:val="000A164B"/>
    <w:rsid w:val="000E3C26"/>
    <w:rsid w:val="000E443E"/>
    <w:rsid w:val="000F0D12"/>
    <w:rsid w:val="001117F3"/>
    <w:rsid w:val="001579EE"/>
    <w:rsid w:val="00175E8D"/>
    <w:rsid w:val="00176B8B"/>
    <w:rsid w:val="001B357C"/>
    <w:rsid w:val="001D620A"/>
    <w:rsid w:val="00206378"/>
    <w:rsid w:val="00214F77"/>
    <w:rsid w:val="00283895"/>
    <w:rsid w:val="0028716C"/>
    <w:rsid w:val="002A031B"/>
    <w:rsid w:val="002D20E5"/>
    <w:rsid w:val="002D5CB9"/>
    <w:rsid w:val="003017EC"/>
    <w:rsid w:val="00333F3B"/>
    <w:rsid w:val="00336B99"/>
    <w:rsid w:val="00352770"/>
    <w:rsid w:val="00352C3A"/>
    <w:rsid w:val="00370DB3"/>
    <w:rsid w:val="003A04F6"/>
    <w:rsid w:val="003B71C0"/>
    <w:rsid w:val="003E27E4"/>
    <w:rsid w:val="004260BE"/>
    <w:rsid w:val="004432E6"/>
    <w:rsid w:val="0046422B"/>
    <w:rsid w:val="00486E82"/>
    <w:rsid w:val="004B4F19"/>
    <w:rsid w:val="004C6BA9"/>
    <w:rsid w:val="004D4C81"/>
    <w:rsid w:val="004D7812"/>
    <w:rsid w:val="00504AB5"/>
    <w:rsid w:val="005348E2"/>
    <w:rsid w:val="005435F4"/>
    <w:rsid w:val="00560199"/>
    <w:rsid w:val="00582B69"/>
    <w:rsid w:val="005F413B"/>
    <w:rsid w:val="005F66B4"/>
    <w:rsid w:val="006211D3"/>
    <w:rsid w:val="00646899"/>
    <w:rsid w:val="00651127"/>
    <w:rsid w:val="00660821"/>
    <w:rsid w:val="006633EA"/>
    <w:rsid w:val="006806AC"/>
    <w:rsid w:val="006A1FD8"/>
    <w:rsid w:val="006E389B"/>
    <w:rsid w:val="00701CC6"/>
    <w:rsid w:val="00704CDF"/>
    <w:rsid w:val="00714259"/>
    <w:rsid w:val="00716344"/>
    <w:rsid w:val="00774C87"/>
    <w:rsid w:val="00790CDA"/>
    <w:rsid w:val="007E1AE5"/>
    <w:rsid w:val="008113A7"/>
    <w:rsid w:val="00844C40"/>
    <w:rsid w:val="008907E4"/>
    <w:rsid w:val="008A18AA"/>
    <w:rsid w:val="008A64E4"/>
    <w:rsid w:val="008D5437"/>
    <w:rsid w:val="008D5B75"/>
    <w:rsid w:val="008E5F5A"/>
    <w:rsid w:val="00911B7E"/>
    <w:rsid w:val="00970B85"/>
    <w:rsid w:val="00977DC4"/>
    <w:rsid w:val="00A11D0B"/>
    <w:rsid w:val="00A213A6"/>
    <w:rsid w:val="00A41E5D"/>
    <w:rsid w:val="00A46353"/>
    <w:rsid w:val="00B45925"/>
    <w:rsid w:val="00B561AD"/>
    <w:rsid w:val="00B5797F"/>
    <w:rsid w:val="00B731AB"/>
    <w:rsid w:val="00B90240"/>
    <w:rsid w:val="00BA3613"/>
    <w:rsid w:val="00BA3C7E"/>
    <w:rsid w:val="00BB283A"/>
    <w:rsid w:val="00BD5E8A"/>
    <w:rsid w:val="00BF722A"/>
    <w:rsid w:val="00C0157C"/>
    <w:rsid w:val="00C02959"/>
    <w:rsid w:val="00C31C6B"/>
    <w:rsid w:val="00C6001A"/>
    <w:rsid w:val="00C8498B"/>
    <w:rsid w:val="00C93ED4"/>
    <w:rsid w:val="00D02C20"/>
    <w:rsid w:val="00D207D4"/>
    <w:rsid w:val="00D26103"/>
    <w:rsid w:val="00D4622E"/>
    <w:rsid w:val="00DA2FFB"/>
    <w:rsid w:val="00DC565E"/>
    <w:rsid w:val="00E3383B"/>
    <w:rsid w:val="00E5197F"/>
    <w:rsid w:val="00E630DC"/>
    <w:rsid w:val="00E9576C"/>
    <w:rsid w:val="00EC234B"/>
    <w:rsid w:val="00F16F87"/>
    <w:rsid w:val="00F90AAD"/>
    <w:rsid w:val="0F282253"/>
    <w:rsid w:val="137B5357"/>
    <w:rsid w:val="139D3686"/>
    <w:rsid w:val="14783CCF"/>
    <w:rsid w:val="16762928"/>
    <w:rsid w:val="18B64640"/>
    <w:rsid w:val="1EBC16C8"/>
    <w:rsid w:val="22F520B4"/>
    <w:rsid w:val="34761A2C"/>
    <w:rsid w:val="375D779E"/>
    <w:rsid w:val="38BB2051"/>
    <w:rsid w:val="403F6785"/>
    <w:rsid w:val="51CD2A90"/>
    <w:rsid w:val="54E05A9D"/>
    <w:rsid w:val="5EEF056C"/>
    <w:rsid w:val="60105627"/>
    <w:rsid w:val="633F5021"/>
    <w:rsid w:val="7C5E5FFB"/>
    <w:rsid w:val="7D6E7F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E2035"/>
  <w15:docId w15:val="{D7CFC5A9-E160-482A-A7C0-19689988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rFonts w:asciiTheme="minorHAnsi" w:eastAsiaTheme="minorEastAsia" w:hAnsiTheme="minorHAnsi" w:cstheme="minorBidi"/>
      <w:kern w:val="2"/>
      <w:sz w:val="21"/>
      <w:szCs w:val="24"/>
    </w:rPr>
  </w:style>
  <w:style w:type="paragraph" w:styleId="6">
    <w:name w:val="heading 6"/>
    <w:basedOn w:val="a"/>
    <w:next w:val="a"/>
    <w:semiHidden/>
    <w:unhideWhenUsed/>
    <w:qFormat/>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pPr>
      <w:jc w:val="center"/>
    </w:pPr>
    <w:rPr>
      <w:rFonts w:ascii="文星标宋" w:eastAsia="文星标宋" w:hAnsi="文星标宋"/>
      <w:sz w:val="44"/>
      <w:szCs w:val="44"/>
    </w:rPr>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customStyle="1" w:styleId="Style6">
    <w:name w:val="_Style 6"/>
    <w:basedOn w:val="a"/>
    <w:pPr>
      <w:tabs>
        <w:tab w:val="left" w:pos="360"/>
      </w:tabs>
    </w:pPr>
    <w:rPr>
      <w:sz w:val="24"/>
    </w:rPr>
  </w:style>
  <w:style w:type="character" w:styleId="a9">
    <w:name w:val="page number"/>
    <w:basedOn w:val="a0"/>
    <w:qFormat/>
  </w:style>
  <w:style w:type="paragraph" w:customStyle="1" w:styleId="2">
    <w:name w:val="样式2"/>
    <w:basedOn w:val="6"/>
    <w:next w:val="a"/>
    <w:qFormat/>
    <w:pPr>
      <w:spacing w:line="360" w:lineRule="auto"/>
      <w:jc w:val="center"/>
    </w:pPr>
  </w:style>
  <w:style w:type="character" w:customStyle="1" w:styleId="font01">
    <w:name w:val="font01"/>
    <w:basedOn w:val="a0"/>
    <w:qFormat/>
    <w:rPr>
      <w:rFonts w:ascii="黑体" w:eastAsia="黑体" w:hAnsi="宋体" w:cs="黑体"/>
      <w:b/>
      <w:color w:val="000000"/>
      <w:sz w:val="22"/>
      <w:szCs w:val="22"/>
      <w:u w:val="none"/>
    </w:rPr>
  </w:style>
  <w:style w:type="character" w:customStyle="1" w:styleId="font101">
    <w:name w:val="font101"/>
    <w:basedOn w:val="a0"/>
    <w:qFormat/>
    <w:rPr>
      <w:rFonts w:ascii="Times New Roman" w:hAnsi="Times New Roman" w:cs="Times New Roman" w:hint="default"/>
      <w:b/>
      <w:color w:val="000000"/>
      <w:sz w:val="22"/>
      <w:szCs w:val="22"/>
      <w:u w:val="none"/>
    </w:rPr>
  </w:style>
  <w:style w:type="character" w:customStyle="1" w:styleId="font21">
    <w:name w:val="font21"/>
    <w:basedOn w:val="a0"/>
    <w:qFormat/>
    <w:rPr>
      <w:rFonts w:ascii="宋体" w:eastAsia="宋体" w:hAnsi="宋体" w:cs="宋体" w:hint="eastAsia"/>
      <w:b/>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111">
    <w:name w:val="font111"/>
    <w:basedOn w:val="a0"/>
    <w:qFormat/>
    <w:rPr>
      <w:rFonts w:ascii="Times New Roman" w:hAnsi="Times New Roman" w:cs="Times New Roman" w:hint="default"/>
      <w:color w:val="000000"/>
      <w:sz w:val="22"/>
      <w:szCs w:val="22"/>
      <w:u w:val="none"/>
    </w:rPr>
  </w:style>
  <w:style w:type="character" w:customStyle="1" w:styleId="font71">
    <w:name w:val="font71"/>
    <w:basedOn w:val="a0"/>
    <w:qFormat/>
    <w:rPr>
      <w:rFonts w:ascii="宋体" w:eastAsia="宋体" w:hAnsi="宋体" w:cs="宋体" w:hint="eastAsia"/>
      <w:color w:val="000000"/>
      <w:sz w:val="22"/>
      <w:szCs w:val="22"/>
      <w:u w:val="singl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122">
    <w:name w:val="font122"/>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宋体" w:eastAsia="宋体" w:hAnsi="宋体" w:cs="宋体" w:hint="eastAsia"/>
      <w:b/>
      <w:color w:val="000000"/>
      <w:sz w:val="22"/>
      <w:szCs w:val="22"/>
      <w:u w:val="none"/>
    </w:rPr>
  </w:style>
  <w:style w:type="character" w:customStyle="1" w:styleId="font12">
    <w:name w:val="font12"/>
    <w:basedOn w:val="a0"/>
    <w:qFormat/>
    <w:rPr>
      <w:rFonts w:ascii="宋体" w:eastAsia="宋体" w:hAnsi="宋体" w:cs="宋体" w:hint="eastAsia"/>
      <w:color w:val="000000"/>
      <w:sz w:val="22"/>
      <w:szCs w:val="22"/>
      <w:u w:val="none"/>
    </w:rPr>
  </w:style>
  <w:style w:type="character" w:customStyle="1" w:styleId="font91">
    <w:name w:val="font91"/>
    <w:basedOn w:val="a0"/>
    <w:qFormat/>
    <w:rPr>
      <w:rFonts w:ascii="Times New Roman" w:hAnsi="Times New Roman" w:cs="Times New Roman" w:hint="default"/>
      <w:color w:val="000000"/>
      <w:sz w:val="22"/>
      <w:szCs w:val="22"/>
      <w:u w:val="non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723</Characters>
  <Application>Microsoft Office Word</Application>
  <DocSecurity>0</DocSecurity>
  <Lines>6</Lines>
  <Paragraphs>1</Paragraphs>
  <ScaleCrop>false</ScaleCrop>
  <Company>ly</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江苏百盛工程咨询有限公司</dc:creator>
  <cp:lastModifiedBy>502893282@qq.com</cp:lastModifiedBy>
  <cp:revision>10</cp:revision>
  <cp:lastPrinted>2022-01-17T08:36:00Z</cp:lastPrinted>
  <dcterms:created xsi:type="dcterms:W3CDTF">2021-11-19T06:29:00Z</dcterms:created>
  <dcterms:modified xsi:type="dcterms:W3CDTF">2022-01-24T03:03:00Z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