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A514" w14:textId="77777777" w:rsidR="00DE6D32" w:rsidRPr="00FD7304" w:rsidRDefault="007167A4">
      <w:pPr>
        <w:jc w:val="left"/>
        <w:rPr>
          <w:rFonts w:ascii="黑体" w:eastAsia="黑体" w:hAnsi="黑体" w:cs="黑体"/>
          <w:spacing w:val="-8"/>
          <w:sz w:val="32"/>
          <w:szCs w:val="32"/>
        </w:rPr>
      </w:pPr>
      <w:r w:rsidRPr="00FD7304">
        <w:rPr>
          <w:rFonts w:ascii="黑体" w:eastAsia="黑体" w:hAnsi="黑体" w:cs="黑体" w:hint="eastAsia"/>
          <w:spacing w:val="-8"/>
          <w:sz w:val="32"/>
          <w:szCs w:val="32"/>
        </w:rPr>
        <w:t>附件</w:t>
      </w:r>
      <w:r w:rsidRPr="00FD7304">
        <w:rPr>
          <w:rFonts w:ascii="黑体" w:eastAsia="黑体" w:hAnsi="黑体" w:cs="黑体" w:hint="eastAsia"/>
          <w:spacing w:val="-8"/>
          <w:sz w:val="32"/>
          <w:szCs w:val="32"/>
        </w:rPr>
        <w:t>1</w:t>
      </w:r>
    </w:p>
    <w:tbl>
      <w:tblPr>
        <w:tblW w:w="5629" w:type="pct"/>
        <w:tblInd w:w="-545" w:type="dxa"/>
        <w:tblLayout w:type="fixed"/>
        <w:tblCellMar>
          <w:left w:w="0" w:type="dxa"/>
          <w:right w:w="0" w:type="dxa"/>
        </w:tblCellMar>
        <w:tblLook w:val="04A0" w:firstRow="1" w:lastRow="0" w:firstColumn="1" w:lastColumn="0" w:noHBand="0" w:noVBand="1"/>
      </w:tblPr>
      <w:tblGrid>
        <w:gridCol w:w="742"/>
        <w:gridCol w:w="7546"/>
        <w:gridCol w:w="755"/>
        <w:gridCol w:w="947"/>
      </w:tblGrid>
      <w:tr w:rsidR="00DE6D32" w14:paraId="23A5C941" w14:textId="77777777">
        <w:trPr>
          <w:trHeight w:val="465"/>
        </w:trPr>
        <w:tc>
          <w:tcPr>
            <w:tcW w:w="5000" w:type="pct"/>
            <w:gridSpan w:val="4"/>
            <w:tcBorders>
              <w:top w:val="nil"/>
              <w:left w:val="nil"/>
              <w:bottom w:val="single" w:sz="4" w:space="0" w:color="auto"/>
              <w:right w:val="nil"/>
            </w:tcBorders>
            <w:shd w:val="clear" w:color="auto" w:fill="auto"/>
            <w:tcMar>
              <w:top w:w="15" w:type="dxa"/>
              <w:left w:w="15" w:type="dxa"/>
              <w:right w:w="15" w:type="dxa"/>
            </w:tcMar>
            <w:vAlign w:val="center"/>
          </w:tcPr>
          <w:p w14:paraId="66B0B1E7" w14:textId="77777777" w:rsidR="00DE6D32" w:rsidRDefault="007167A4">
            <w:pPr>
              <w:widowControl/>
              <w:adjustRightInd w:val="0"/>
              <w:snapToGrid w:val="0"/>
              <w:jc w:val="center"/>
              <w:textAlignment w:val="center"/>
              <w:rPr>
                <w:rFonts w:ascii="Times New Roman" w:eastAsia="方正小标宋简体" w:hAnsi="Times New Roman" w:cs="Times New Roman"/>
                <w:bCs/>
                <w:spacing w:val="-8"/>
                <w:sz w:val="32"/>
                <w:szCs w:val="32"/>
              </w:rPr>
            </w:pPr>
            <w:r w:rsidRPr="00FD7304">
              <w:rPr>
                <w:rFonts w:ascii="Times New Roman" w:eastAsia="方正小标宋简体" w:hAnsi="Times New Roman" w:cs="Times New Roman" w:hint="eastAsia"/>
                <w:bCs/>
                <w:spacing w:val="-8"/>
                <w:sz w:val="44"/>
                <w:szCs w:val="44"/>
              </w:rPr>
              <w:t>山东省道路运输从业人员信用评分标准（</w:t>
            </w:r>
            <w:r w:rsidRPr="00FD7304">
              <w:rPr>
                <w:rFonts w:ascii="Times New Roman" w:eastAsia="方正小标宋简体" w:hAnsi="Times New Roman" w:cs="Times New Roman" w:hint="eastAsia"/>
                <w:bCs/>
                <w:spacing w:val="-8"/>
                <w:sz w:val="44"/>
                <w:szCs w:val="44"/>
              </w:rPr>
              <w:t>2022</w:t>
            </w:r>
            <w:r w:rsidRPr="00FD7304">
              <w:rPr>
                <w:rFonts w:ascii="Times New Roman" w:eastAsia="方正小标宋简体" w:hAnsi="Times New Roman" w:cs="Times New Roman" w:hint="eastAsia"/>
                <w:bCs/>
                <w:spacing w:val="-8"/>
                <w:sz w:val="44"/>
                <w:szCs w:val="44"/>
              </w:rPr>
              <w:t>版）</w:t>
            </w:r>
          </w:p>
        </w:tc>
      </w:tr>
      <w:tr w:rsidR="00DE6D32" w14:paraId="23C67939" w14:textId="77777777">
        <w:trPr>
          <w:trHeight w:val="465"/>
        </w:trPr>
        <w:tc>
          <w:tcPr>
            <w:tcW w:w="3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269064" w14:textId="77777777" w:rsidR="00DE6D32" w:rsidRDefault="007167A4">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序号</w:t>
            </w:r>
          </w:p>
        </w:tc>
        <w:tc>
          <w:tcPr>
            <w:tcW w:w="4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E14A3" w14:textId="77777777" w:rsidR="00DE6D32" w:rsidRDefault="007167A4">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记分内容</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3EA6F8F" w14:textId="77777777" w:rsidR="00DE6D32" w:rsidRDefault="007167A4">
            <w:pPr>
              <w:widowControl/>
              <w:adjustRightInd w:val="0"/>
              <w:snapToGrid w:val="0"/>
              <w:jc w:val="center"/>
              <w:textAlignment w:val="center"/>
              <w:rPr>
                <w:rFonts w:ascii="Times New Roman" w:eastAsia="黑体" w:hAnsi="Times New Roman" w:cs="Times New Roman"/>
                <w:kern w:val="0"/>
                <w:sz w:val="24"/>
              </w:rPr>
            </w:pPr>
            <w:r>
              <w:rPr>
                <w:rFonts w:ascii="Times New Roman" w:eastAsia="黑体" w:hAnsi="Times New Roman" w:cs="Times New Roman" w:hint="eastAsia"/>
                <w:kern w:val="0"/>
                <w:sz w:val="24"/>
              </w:rPr>
              <w:t>分值</w:t>
            </w:r>
          </w:p>
        </w:tc>
      </w:tr>
      <w:tr w:rsidR="00FD7304" w14:paraId="0087E876" w14:textId="77777777">
        <w:trPr>
          <w:trHeight w:val="46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2542FF" w14:textId="71B19CF9" w:rsidR="00FD7304" w:rsidRDefault="00FD7304" w:rsidP="00FD7304">
            <w:pPr>
              <w:widowControl/>
              <w:adjustRightInd w:val="0"/>
              <w:snapToGrid w:val="0"/>
              <w:jc w:val="left"/>
              <w:textAlignment w:val="center"/>
              <w:rPr>
                <w:rStyle w:val="font41"/>
                <w:rFonts w:ascii="Times New Roman" w:eastAsia="黑体" w:hAnsi="Times New Roman" w:cs="Times New Roman"/>
                <w:b w:val="0"/>
                <w:color w:val="auto"/>
                <w:sz w:val="24"/>
                <w:szCs w:val="24"/>
              </w:rPr>
            </w:pPr>
            <w:r>
              <w:rPr>
                <w:rFonts w:ascii="黑体" w:eastAsia="黑体" w:hAnsi="黑体" w:cs="黑体" w:hint="eastAsia"/>
                <w:kern w:val="0"/>
                <w:sz w:val="24"/>
              </w:rPr>
              <w:t>一、涉及违法违规的失信行为（按照《山东省道路运输经营者违法违规行为记分标准》记分）</w:t>
            </w:r>
          </w:p>
        </w:tc>
      </w:tr>
      <w:tr w:rsidR="00FD7304" w14:paraId="223C8F8B" w14:textId="77777777">
        <w:trPr>
          <w:trHeight w:val="374"/>
        </w:trPr>
        <w:tc>
          <w:tcPr>
            <w:tcW w:w="4526"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EDB6B4" w14:textId="77777777" w:rsidR="00FD7304" w:rsidRDefault="00FD7304" w:rsidP="00FD7304">
            <w:pPr>
              <w:widowControl/>
              <w:adjustRightInd w:val="0"/>
              <w:snapToGrid w:val="0"/>
              <w:jc w:val="right"/>
              <w:textAlignment w:val="center"/>
              <w:rPr>
                <w:rFonts w:ascii="Times New Roman" w:eastAsia="黑体" w:hAnsi="Times New Roman" w:cs="Times New Roman"/>
                <w:kern w:val="0"/>
                <w:sz w:val="24"/>
              </w:rPr>
            </w:pPr>
            <w:r>
              <w:rPr>
                <w:rStyle w:val="font31"/>
                <w:rFonts w:ascii="Times New Roman" w:eastAsia="仿宋_GB2312" w:hAnsi="Times New Roman" w:cs="Times New Roman" w:hint="default"/>
                <w:color w:val="auto"/>
                <w:sz w:val="21"/>
                <w:szCs w:val="21"/>
              </w:rPr>
              <w:t>违法行为</w:t>
            </w:r>
            <w:proofErr w:type="gramStart"/>
            <w:r>
              <w:rPr>
                <w:rStyle w:val="font31"/>
                <w:rFonts w:ascii="Times New Roman" w:eastAsia="仿宋_GB2312" w:hAnsi="Times New Roman" w:cs="Times New Roman" w:hint="default"/>
                <w:color w:val="auto"/>
                <w:sz w:val="21"/>
                <w:szCs w:val="21"/>
              </w:rPr>
              <w:t>记分值</w:t>
            </w:r>
            <w:proofErr w:type="gramEnd"/>
            <w:r>
              <w:rPr>
                <w:rStyle w:val="font31"/>
                <w:rFonts w:ascii="Times New Roman" w:eastAsia="仿宋_GB2312" w:hAnsi="Times New Roman" w:cs="Times New Roman" w:hint="default"/>
                <w:color w:val="auto"/>
                <w:sz w:val="21"/>
                <w:szCs w:val="21"/>
              </w:rPr>
              <w:t>累计</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2870E4D" w14:textId="77777777" w:rsidR="00FD7304" w:rsidRDefault="00FD7304" w:rsidP="00FD7304">
            <w:pPr>
              <w:widowControl/>
              <w:adjustRightInd w:val="0"/>
              <w:snapToGrid w:val="0"/>
              <w:jc w:val="center"/>
              <w:textAlignment w:val="center"/>
              <w:rPr>
                <w:rStyle w:val="font21"/>
                <w:rFonts w:ascii="宋体" w:eastAsia="宋体" w:hAnsi="宋体" w:cs="宋体"/>
                <w:color w:val="auto"/>
                <w:sz w:val="21"/>
                <w:szCs w:val="21"/>
              </w:rPr>
            </w:pPr>
            <w:r>
              <w:rPr>
                <w:rStyle w:val="font21"/>
                <w:rFonts w:ascii="宋体" w:eastAsia="宋体" w:hAnsi="宋体" w:cs="宋体" w:hint="eastAsia"/>
                <w:color w:val="auto"/>
                <w:sz w:val="21"/>
                <w:szCs w:val="21"/>
              </w:rPr>
              <w:t>Ⅰ</w:t>
            </w:r>
          </w:p>
        </w:tc>
      </w:tr>
      <w:tr w:rsidR="00FD7304" w14:paraId="3B32B57B" w14:textId="77777777">
        <w:trPr>
          <w:trHeight w:val="46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5B8CBC" w14:textId="77777777" w:rsidR="00FD7304" w:rsidRDefault="00FD7304" w:rsidP="00FD7304">
            <w:pPr>
              <w:widowControl/>
              <w:adjustRightInd w:val="0"/>
              <w:snapToGrid w:val="0"/>
              <w:textAlignment w:val="center"/>
              <w:rPr>
                <w:rFonts w:ascii="Times New Roman" w:eastAsia="黑体" w:hAnsi="Times New Roman" w:cs="Times New Roman"/>
                <w:b/>
                <w:sz w:val="24"/>
              </w:rPr>
            </w:pPr>
            <w:r>
              <w:rPr>
                <w:rStyle w:val="font41"/>
                <w:rFonts w:ascii="Times New Roman" w:eastAsia="黑体" w:hAnsi="Times New Roman" w:cs="Times New Roman" w:hint="eastAsia"/>
                <w:b w:val="0"/>
                <w:color w:val="auto"/>
                <w:sz w:val="24"/>
                <w:szCs w:val="24"/>
              </w:rPr>
              <w:t>二</w:t>
            </w:r>
            <w:r>
              <w:rPr>
                <w:rStyle w:val="font41"/>
                <w:rFonts w:ascii="Times New Roman" w:eastAsia="黑体" w:hAnsi="Times New Roman" w:cs="Times New Roman"/>
                <w:b w:val="0"/>
                <w:color w:val="auto"/>
                <w:sz w:val="24"/>
                <w:szCs w:val="24"/>
              </w:rPr>
              <w:t>、</w:t>
            </w:r>
            <w:r>
              <w:rPr>
                <w:rStyle w:val="font41"/>
                <w:rFonts w:ascii="Times New Roman" w:eastAsia="黑体" w:hAnsi="Times New Roman" w:cs="Times New Roman" w:hint="eastAsia"/>
                <w:b w:val="0"/>
                <w:color w:val="auto"/>
                <w:sz w:val="24"/>
                <w:szCs w:val="24"/>
              </w:rPr>
              <w:t>其他失信行为</w:t>
            </w:r>
          </w:p>
        </w:tc>
      </w:tr>
      <w:tr w:rsidR="00FD7304" w14:paraId="1D459A5A" w14:textId="77777777">
        <w:tc>
          <w:tcPr>
            <w:tcW w:w="3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68F778"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4155" w:type="pct"/>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CEA6A86"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因服务质量低劣造成不良社会影响，被县级以上新闻媒体曝光并经查证属实的；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54570"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4</w:t>
            </w:r>
          </w:p>
        </w:tc>
      </w:tr>
      <w:tr w:rsidR="00FD7304" w14:paraId="3ABC84EE" w14:textId="77777777">
        <w:trPr>
          <w:trHeight w:val="303"/>
        </w:trPr>
        <w:tc>
          <w:tcPr>
            <w:tcW w:w="3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3F3F2C" w14:textId="77777777" w:rsidR="00FD7304" w:rsidRDefault="00FD7304" w:rsidP="00FD7304">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4155" w:type="pct"/>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67319C"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因服务质量低劣造成不良社会影响，被设区市级以上新闻媒体曝光并经查证属实的；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6F11B"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6</w:t>
            </w:r>
          </w:p>
        </w:tc>
      </w:tr>
      <w:tr w:rsidR="00FD7304" w14:paraId="6F5ED833" w14:textId="77777777">
        <w:tc>
          <w:tcPr>
            <w:tcW w:w="3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D447C6B"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4155" w:type="pct"/>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7660C87"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因服务质量低劣造成不良社会影响，被省级以上新闻媒体曝光并经查证属实的；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B9A65"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10</w:t>
            </w:r>
          </w:p>
        </w:tc>
      </w:tr>
      <w:tr w:rsidR="00FD7304" w14:paraId="5C930FC4" w14:textId="77777777">
        <w:tc>
          <w:tcPr>
            <w:tcW w:w="371"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90F9F"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41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FA3D"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Style w:val="font12"/>
                <w:rFonts w:ascii="Times New Roman" w:eastAsia="仿宋_GB2312" w:hAnsi="Times New Roman" w:cs="Times New Roman" w:hint="default"/>
                <w:sz w:val="21"/>
                <w:szCs w:val="21"/>
              </w:rPr>
              <w:t>在信用管理过程中，弄虚作假、拒不改正，情节严重的；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4C7D5"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0</w:t>
            </w:r>
          </w:p>
        </w:tc>
      </w:tr>
      <w:tr w:rsidR="00FD7304" w14:paraId="1B260835" w14:textId="77777777">
        <w:tc>
          <w:tcPr>
            <w:tcW w:w="371"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0C6CB"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5</w:t>
            </w:r>
          </w:p>
        </w:tc>
        <w:tc>
          <w:tcPr>
            <w:tcW w:w="41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72580" w14:textId="77777777" w:rsidR="00FD7304" w:rsidRDefault="00FD7304" w:rsidP="00FD7304">
            <w:pPr>
              <w:widowControl/>
              <w:adjustRightInd w:val="0"/>
              <w:snapToGrid w:val="0"/>
              <w:jc w:val="left"/>
              <w:textAlignment w:val="center"/>
              <w:rPr>
                <w:rFonts w:ascii="Times New Roman" w:eastAsia="仿宋_GB2312" w:hAnsi="Times New Roman" w:cs="Times New Roman"/>
                <w:kern w:val="0"/>
                <w:szCs w:val="21"/>
              </w:rPr>
            </w:pPr>
            <w:r>
              <w:rPr>
                <w:rStyle w:val="font31"/>
                <w:rFonts w:ascii="Times New Roman" w:eastAsia="仿宋_GB2312" w:hAnsi="Times New Roman" w:cs="Times New Roman" w:hint="default"/>
                <w:color w:val="auto"/>
                <w:sz w:val="21"/>
                <w:szCs w:val="21"/>
              </w:rPr>
              <w:t>其他发生本办法规定的严重失信行为或者符合省级以上交通运输主管部门规定的失信联合惩戒对象名单条件的。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66B79" w14:textId="77777777" w:rsidR="00FD7304" w:rsidRDefault="00FD7304" w:rsidP="00FD7304">
            <w:pPr>
              <w:widowControl/>
              <w:adjustRightInd w:val="0"/>
              <w:snapToGrid w:val="0"/>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20</w:t>
            </w:r>
          </w:p>
        </w:tc>
      </w:tr>
      <w:tr w:rsidR="00FD7304" w14:paraId="13EA265B" w14:textId="77777777">
        <w:trPr>
          <w:trHeight w:val="332"/>
        </w:trPr>
        <w:tc>
          <w:tcPr>
            <w:tcW w:w="4526" w:type="pct"/>
            <w:gridSpan w:val="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D15877D" w14:textId="77777777" w:rsidR="00FD7304" w:rsidRDefault="00FD7304" w:rsidP="00FD7304">
            <w:pPr>
              <w:widowControl/>
              <w:adjustRightInd w:val="0"/>
              <w:snapToGrid w:val="0"/>
              <w:jc w:val="right"/>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color w:val="auto"/>
                <w:sz w:val="21"/>
                <w:szCs w:val="21"/>
              </w:rPr>
              <w:t>其他失信行为记分累计</w:t>
            </w:r>
          </w:p>
        </w:tc>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5DFB7CA8" w14:textId="77777777" w:rsidR="00FD7304" w:rsidRDefault="00FD7304" w:rsidP="00FD7304">
            <w:pPr>
              <w:widowControl/>
              <w:adjustRightInd w:val="0"/>
              <w:snapToGrid w:val="0"/>
              <w:jc w:val="center"/>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b/>
                <w:color w:val="auto"/>
                <w:sz w:val="21"/>
                <w:szCs w:val="21"/>
              </w:rPr>
              <w:t>Ⅱ</w:t>
            </w:r>
          </w:p>
        </w:tc>
      </w:tr>
      <w:tr w:rsidR="00FD7304" w14:paraId="37708C89" w14:textId="77777777">
        <w:trPr>
          <w:trHeight w:val="332"/>
        </w:trPr>
        <w:tc>
          <w:tcPr>
            <w:tcW w:w="5000" w:type="pct"/>
            <w:gridSpan w:val="4"/>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8CE2510" w14:textId="77777777" w:rsidR="00FD7304" w:rsidRDefault="00FD7304" w:rsidP="00FD7304">
            <w:pPr>
              <w:widowControl/>
              <w:adjustRightInd w:val="0"/>
              <w:snapToGrid w:val="0"/>
              <w:textAlignment w:val="center"/>
              <w:rPr>
                <w:rStyle w:val="font41"/>
                <w:rFonts w:ascii="Times New Roman" w:eastAsia="黑体" w:hAnsi="Times New Roman" w:cs="Times New Roman"/>
                <w:color w:val="auto"/>
                <w:sz w:val="24"/>
                <w:szCs w:val="24"/>
              </w:rPr>
            </w:pPr>
            <w:r>
              <w:rPr>
                <w:rStyle w:val="font41"/>
                <w:rFonts w:ascii="Times New Roman" w:eastAsia="黑体" w:hAnsi="Times New Roman" w:cs="Times New Roman"/>
                <w:b w:val="0"/>
                <w:color w:val="auto"/>
                <w:sz w:val="24"/>
                <w:szCs w:val="24"/>
              </w:rPr>
              <w:t>三、加分项</w:t>
            </w:r>
          </w:p>
        </w:tc>
      </w:tr>
      <w:tr w:rsidR="00FD7304" w14:paraId="2D592534" w14:textId="77777777">
        <w:trPr>
          <w:trHeight w:val="465"/>
        </w:trPr>
        <w:tc>
          <w:tcPr>
            <w:tcW w:w="414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CC46AC" w14:textId="77777777" w:rsidR="00FD7304" w:rsidRDefault="00FD7304" w:rsidP="00FD7304">
            <w:pPr>
              <w:widowControl/>
              <w:adjustRightInd w:val="0"/>
              <w:snapToGrid w:val="0"/>
              <w:jc w:val="center"/>
              <w:textAlignment w:val="center"/>
              <w:rPr>
                <w:rFonts w:ascii="黑体" w:eastAsia="黑体" w:hAnsi="黑体" w:cs="Times New Roman"/>
                <w:sz w:val="24"/>
              </w:rPr>
            </w:pPr>
            <w:r>
              <w:rPr>
                <w:rStyle w:val="font41"/>
                <w:rFonts w:ascii="黑体" w:eastAsia="黑体" w:hAnsi="黑体" w:cs="Times New Roman"/>
                <w:b w:val="0"/>
                <w:color w:val="auto"/>
                <w:sz w:val="24"/>
                <w:szCs w:val="24"/>
              </w:rPr>
              <w:t>加分内容</w:t>
            </w:r>
          </w:p>
        </w:tc>
        <w:tc>
          <w:tcPr>
            <w:tcW w:w="852"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C02BB1" w14:textId="77777777" w:rsidR="00FD7304" w:rsidRDefault="00FD7304" w:rsidP="00FD7304">
            <w:pPr>
              <w:widowControl/>
              <w:adjustRightInd w:val="0"/>
              <w:snapToGrid w:val="0"/>
              <w:jc w:val="center"/>
              <w:textAlignment w:val="center"/>
              <w:rPr>
                <w:rFonts w:ascii="黑体" w:eastAsia="黑体" w:hAnsi="黑体" w:cs="Times New Roman"/>
                <w:sz w:val="24"/>
              </w:rPr>
            </w:pPr>
            <w:r>
              <w:rPr>
                <w:rStyle w:val="font41"/>
                <w:rFonts w:ascii="黑体" w:eastAsia="黑体" w:hAnsi="黑体" w:cs="Times New Roman"/>
                <w:b w:val="0"/>
                <w:color w:val="auto"/>
                <w:sz w:val="24"/>
                <w:szCs w:val="24"/>
              </w:rPr>
              <w:t>说明</w:t>
            </w:r>
          </w:p>
        </w:tc>
      </w:tr>
      <w:tr w:rsidR="00FD7304" w14:paraId="349FE833" w14:textId="77777777">
        <w:trPr>
          <w:trHeight w:val="566"/>
        </w:trPr>
        <w:tc>
          <w:tcPr>
            <w:tcW w:w="4148" w:type="pct"/>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51820"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1.</w:t>
            </w:r>
            <w:r>
              <w:rPr>
                <w:rStyle w:val="font31"/>
                <w:rFonts w:ascii="Times New Roman" w:eastAsia="仿宋_GB2312" w:hAnsi="Times New Roman" w:cs="Times New Roman" w:hint="default"/>
                <w:color w:val="auto"/>
                <w:sz w:val="21"/>
                <w:szCs w:val="21"/>
              </w:rPr>
              <w:t>获得县级人民政府或者地市级交通运输主管部门表彰奖励的，每次可以抵扣</w:t>
            </w:r>
            <w:r>
              <w:rPr>
                <w:rStyle w:val="font11"/>
                <w:rFonts w:eastAsia="仿宋_GB2312"/>
                <w:color w:val="auto"/>
                <w:sz w:val="21"/>
                <w:szCs w:val="21"/>
              </w:rPr>
              <w:t>1</w:t>
            </w:r>
            <w:r>
              <w:rPr>
                <w:rStyle w:val="font31"/>
                <w:rFonts w:ascii="Times New Roman" w:eastAsia="仿宋_GB2312" w:hAnsi="Times New Roman" w:cs="Times New Roman" w:hint="default"/>
                <w:color w:val="auto"/>
                <w:sz w:val="21"/>
                <w:szCs w:val="21"/>
              </w:rPr>
              <w:t>分记分分值；</w:t>
            </w:r>
          </w:p>
        </w:tc>
        <w:tc>
          <w:tcPr>
            <w:tcW w:w="852" w:type="pct"/>
            <w:gridSpan w:val="2"/>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B7479"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评定周期内，可以一次加分</w:t>
            </w:r>
            <w:r>
              <w:rPr>
                <w:rStyle w:val="font11"/>
                <w:rFonts w:eastAsia="仿宋_GB2312"/>
                <w:color w:val="auto"/>
                <w:sz w:val="21"/>
                <w:szCs w:val="21"/>
              </w:rPr>
              <w:t>1</w:t>
            </w:r>
            <w:r>
              <w:rPr>
                <w:rStyle w:val="font31"/>
                <w:rFonts w:ascii="Times New Roman" w:eastAsia="仿宋_GB2312" w:hAnsi="Times New Roman" w:cs="Times New Roman" w:hint="default"/>
                <w:color w:val="auto"/>
                <w:sz w:val="21"/>
                <w:szCs w:val="21"/>
              </w:rPr>
              <w:t>至</w:t>
            </w:r>
            <w:r>
              <w:rPr>
                <w:rStyle w:val="font11"/>
                <w:rFonts w:eastAsia="仿宋_GB2312"/>
                <w:color w:val="auto"/>
                <w:sz w:val="21"/>
                <w:szCs w:val="21"/>
              </w:rPr>
              <w:t>5</w:t>
            </w:r>
            <w:r>
              <w:rPr>
                <w:rStyle w:val="font31"/>
                <w:rFonts w:ascii="Times New Roman" w:eastAsia="仿宋_GB2312" w:hAnsi="Times New Roman" w:cs="Times New Roman" w:hint="default"/>
                <w:color w:val="auto"/>
                <w:sz w:val="21"/>
                <w:szCs w:val="21"/>
              </w:rPr>
              <w:t>分。同一事项，按照最高加分值计算，累积加分值不超过</w:t>
            </w:r>
            <w:r>
              <w:rPr>
                <w:rStyle w:val="font11"/>
                <w:rFonts w:eastAsia="仿宋_GB2312"/>
                <w:color w:val="auto"/>
                <w:sz w:val="21"/>
                <w:szCs w:val="21"/>
              </w:rPr>
              <w:t>5</w:t>
            </w:r>
            <w:r>
              <w:rPr>
                <w:rStyle w:val="font31"/>
                <w:rFonts w:ascii="Times New Roman" w:eastAsia="仿宋_GB2312" w:hAnsi="Times New Roman" w:cs="Times New Roman" w:hint="default"/>
                <w:color w:val="auto"/>
                <w:sz w:val="21"/>
                <w:szCs w:val="21"/>
              </w:rPr>
              <w:t>分。</w:t>
            </w:r>
          </w:p>
        </w:tc>
      </w:tr>
      <w:tr w:rsidR="00FD7304" w14:paraId="2C18C435" w14:textId="77777777">
        <w:trPr>
          <w:trHeight w:val="539"/>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BC6BD"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2.</w:t>
            </w:r>
            <w:r>
              <w:rPr>
                <w:rStyle w:val="font31"/>
                <w:rFonts w:ascii="Times New Roman" w:eastAsia="仿宋_GB2312" w:hAnsi="Times New Roman" w:cs="Times New Roman" w:hint="default"/>
                <w:color w:val="auto"/>
                <w:sz w:val="21"/>
                <w:szCs w:val="21"/>
              </w:rPr>
              <w:t>获得地市级人民政府或者</w:t>
            </w:r>
            <w:proofErr w:type="gramStart"/>
            <w:r>
              <w:rPr>
                <w:rStyle w:val="font31"/>
                <w:rFonts w:ascii="Times New Roman" w:eastAsia="仿宋_GB2312" w:hAnsi="Times New Roman" w:cs="Times New Roman" w:hint="default"/>
                <w:color w:val="auto"/>
                <w:sz w:val="21"/>
                <w:szCs w:val="21"/>
              </w:rPr>
              <w:t>省级交通</w:t>
            </w:r>
            <w:proofErr w:type="gramEnd"/>
            <w:r>
              <w:rPr>
                <w:rStyle w:val="font31"/>
                <w:rFonts w:ascii="Times New Roman" w:eastAsia="仿宋_GB2312" w:hAnsi="Times New Roman" w:cs="Times New Roman" w:hint="default"/>
                <w:color w:val="auto"/>
                <w:sz w:val="21"/>
                <w:szCs w:val="21"/>
              </w:rPr>
              <w:t>运输主管部门表彰奖励的，每次可以抵扣</w:t>
            </w:r>
            <w:r>
              <w:rPr>
                <w:rStyle w:val="font11"/>
                <w:rFonts w:eastAsia="仿宋_GB2312"/>
                <w:color w:val="auto"/>
                <w:sz w:val="21"/>
                <w:szCs w:val="21"/>
              </w:rPr>
              <w:t>3</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4352C"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31B5AAA8" w14:textId="77777777">
        <w:trPr>
          <w:trHeight w:val="540"/>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BFC65"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3.</w:t>
            </w:r>
            <w:r>
              <w:rPr>
                <w:rStyle w:val="font31"/>
                <w:rFonts w:ascii="Times New Roman" w:eastAsia="仿宋_GB2312" w:hAnsi="Times New Roman" w:cs="Times New Roman" w:hint="default"/>
                <w:color w:val="auto"/>
                <w:sz w:val="21"/>
                <w:szCs w:val="21"/>
              </w:rPr>
              <w:t>获得省级人民政府或者国务院交通运输主管部门表彰奖励的，可以一次性抵扣</w:t>
            </w:r>
            <w:r>
              <w:rPr>
                <w:rStyle w:val="font11"/>
                <w:rFonts w:eastAsia="仿宋_GB2312"/>
                <w:color w:val="auto"/>
                <w:sz w:val="21"/>
                <w:szCs w:val="21"/>
              </w:rPr>
              <w:t>5</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E920C"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6A5B5597" w14:textId="77777777">
        <w:trPr>
          <w:trHeight w:val="250"/>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0AFC6"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4.</w:t>
            </w:r>
            <w:r>
              <w:rPr>
                <w:rStyle w:val="font31"/>
                <w:rFonts w:ascii="Times New Roman" w:eastAsia="仿宋_GB2312" w:hAnsi="Times New Roman" w:cs="Times New Roman" w:hint="default"/>
                <w:color w:val="auto"/>
                <w:sz w:val="21"/>
                <w:szCs w:val="21"/>
              </w:rPr>
              <w:t>有见义勇为、救死扶伤等先进事迹的，可以一次性抵扣</w:t>
            </w:r>
            <w:r>
              <w:rPr>
                <w:rStyle w:val="font11"/>
                <w:rFonts w:eastAsia="仿宋_GB2312"/>
                <w:color w:val="auto"/>
                <w:sz w:val="21"/>
                <w:szCs w:val="21"/>
              </w:rPr>
              <w:t>5</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3F003"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403A21CC" w14:textId="77777777">
        <w:trPr>
          <w:trHeight w:val="240"/>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F6C07"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5.</w:t>
            </w:r>
            <w:r>
              <w:rPr>
                <w:rStyle w:val="font31"/>
                <w:rFonts w:ascii="Times New Roman" w:eastAsia="仿宋_GB2312" w:hAnsi="Times New Roman" w:cs="Times New Roman" w:hint="default"/>
                <w:color w:val="auto"/>
                <w:sz w:val="21"/>
                <w:szCs w:val="21"/>
              </w:rPr>
              <w:t>有重大拾金不昧行为的，每次可以抵扣</w:t>
            </w:r>
            <w:r>
              <w:rPr>
                <w:rStyle w:val="font11"/>
                <w:rFonts w:eastAsia="仿宋_GB2312"/>
                <w:color w:val="auto"/>
                <w:sz w:val="21"/>
                <w:szCs w:val="21"/>
              </w:rPr>
              <w:t>3</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03125"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0A5B8A67" w14:textId="77777777">
        <w:trPr>
          <w:trHeight w:val="580"/>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F6248"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6.</w:t>
            </w:r>
            <w:r>
              <w:rPr>
                <w:rStyle w:val="font31"/>
                <w:rFonts w:ascii="Times New Roman" w:eastAsia="仿宋_GB2312" w:hAnsi="Times New Roman" w:cs="Times New Roman" w:hint="default"/>
                <w:color w:val="auto"/>
                <w:sz w:val="21"/>
                <w:szCs w:val="21"/>
              </w:rPr>
              <w:t>每次主流媒体报道表扬的，县级的可以抵扣</w:t>
            </w:r>
            <w:r>
              <w:rPr>
                <w:rStyle w:val="font11"/>
                <w:rFonts w:eastAsia="仿宋_GB2312"/>
                <w:color w:val="auto"/>
                <w:sz w:val="21"/>
                <w:szCs w:val="21"/>
              </w:rPr>
              <w:t>1</w:t>
            </w:r>
            <w:r>
              <w:rPr>
                <w:rStyle w:val="font31"/>
                <w:rFonts w:ascii="Times New Roman" w:eastAsia="仿宋_GB2312" w:hAnsi="Times New Roman" w:cs="Times New Roman" w:hint="default"/>
                <w:color w:val="auto"/>
                <w:sz w:val="21"/>
                <w:szCs w:val="21"/>
              </w:rPr>
              <w:t>分记分分值，市级的可以抵扣</w:t>
            </w:r>
            <w:r>
              <w:rPr>
                <w:rStyle w:val="font11"/>
                <w:rFonts w:eastAsia="仿宋_GB2312"/>
                <w:color w:val="auto"/>
                <w:sz w:val="21"/>
                <w:szCs w:val="21"/>
              </w:rPr>
              <w:t>2</w:t>
            </w:r>
            <w:r>
              <w:rPr>
                <w:rStyle w:val="font31"/>
                <w:rFonts w:ascii="Times New Roman" w:eastAsia="仿宋_GB2312" w:hAnsi="Times New Roman" w:cs="Times New Roman" w:hint="default"/>
                <w:color w:val="auto"/>
                <w:sz w:val="21"/>
                <w:szCs w:val="21"/>
              </w:rPr>
              <w:t>分记分分值，省级以上的可以抵扣</w:t>
            </w:r>
            <w:r>
              <w:rPr>
                <w:rStyle w:val="font11"/>
                <w:rFonts w:eastAsia="仿宋_GB2312"/>
                <w:color w:val="auto"/>
                <w:sz w:val="21"/>
                <w:szCs w:val="21"/>
              </w:rPr>
              <w:t>3</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A2F75"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73EF4F71" w14:textId="77777777">
        <w:trPr>
          <w:trHeight w:val="267"/>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93E4C"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7.</w:t>
            </w:r>
            <w:r>
              <w:rPr>
                <w:rStyle w:val="font31"/>
                <w:rFonts w:ascii="Times New Roman" w:eastAsia="仿宋_GB2312" w:hAnsi="Times New Roman" w:cs="Times New Roman" w:hint="default"/>
                <w:color w:val="auto"/>
                <w:sz w:val="21"/>
                <w:szCs w:val="21"/>
              </w:rPr>
              <w:t>有协助查处违法行为的，每次可以抵扣</w:t>
            </w:r>
            <w:r>
              <w:rPr>
                <w:rStyle w:val="font11"/>
                <w:rFonts w:eastAsia="仿宋_GB2312"/>
                <w:color w:val="auto"/>
                <w:sz w:val="21"/>
                <w:szCs w:val="21"/>
              </w:rPr>
              <w:t>3</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7E23E"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35364964" w14:textId="77777777">
        <w:trPr>
          <w:trHeight w:val="244"/>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7A9F9" w14:textId="77777777" w:rsidR="00FD7304" w:rsidRDefault="00FD7304" w:rsidP="00FD7304">
            <w:pPr>
              <w:widowControl/>
              <w:adjustRightInd w:val="0"/>
              <w:snapToGrid w:val="0"/>
              <w:jc w:val="left"/>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8.</w:t>
            </w:r>
            <w:r>
              <w:rPr>
                <w:rFonts w:ascii="Times New Roman" w:eastAsia="仿宋_GB2312" w:hAnsi="Times New Roman" w:cs="Times New Roman" w:hint="eastAsia"/>
                <w:kern w:val="0"/>
                <w:szCs w:val="21"/>
              </w:rPr>
              <w:t>完成政府指令性应急运输任务、</w:t>
            </w:r>
            <w:r>
              <w:rPr>
                <w:rStyle w:val="font31"/>
                <w:rFonts w:ascii="Times New Roman" w:eastAsia="仿宋_GB2312" w:hAnsi="Times New Roman" w:cs="Times New Roman" w:hint="default"/>
                <w:color w:val="auto"/>
                <w:sz w:val="21"/>
                <w:szCs w:val="21"/>
              </w:rPr>
              <w:t>积极参加抢险救灾、义务服务等社会公益活动的，每次可以抵扣</w:t>
            </w:r>
            <w:r>
              <w:rPr>
                <w:rStyle w:val="font11"/>
                <w:rFonts w:eastAsia="仿宋_GB2312"/>
                <w:color w:val="auto"/>
                <w:sz w:val="21"/>
                <w:szCs w:val="21"/>
              </w:rPr>
              <w:t>1</w:t>
            </w:r>
            <w:r>
              <w:rPr>
                <w:rStyle w:val="font31"/>
                <w:rFonts w:ascii="Times New Roman" w:eastAsia="仿宋_GB2312" w:hAnsi="Times New Roman" w:cs="Times New Roman" w:hint="default"/>
                <w:color w:val="auto"/>
                <w:sz w:val="21"/>
                <w:szCs w:val="21"/>
              </w:rPr>
              <w:t>分记分分值。</w:t>
            </w:r>
          </w:p>
        </w:tc>
        <w:tc>
          <w:tcPr>
            <w:tcW w:w="85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07C1E" w14:textId="77777777" w:rsidR="00FD7304" w:rsidRDefault="00FD7304" w:rsidP="00FD7304">
            <w:pPr>
              <w:widowControl/>
              <w:adjustRightInd w:val="0"/>
              <w:snapToGrid w:val="0"/>
              <w:jc w:val="center"/>
              <w:rPr>
                <w:rFonts w:ascii="Times New Roman" w:eastAsia="仿宋_GB2312" w:hAnsi="Times New Roman" w:cs="Times New Roman"/>
                <w:szCs w:val="21"/>
              </w:rPr>
            </w:pPr>
          </w:p>
        </w:tc>
      </w:tr>
      <w:tr w:rsidR="00FD7304" w14:paraId="0EE98149" w14:textId="77777777">
        <w:trPr>
          <w:trHeight w:val="397"/>
        </w:trPr>
        <w:tc>
          <w:tcPr>
            <w:tcW w:w="41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4788" w14:textId="77777777" w:rsidR="00FD7304" w:rsidRDefault="00FD7304" w:rsidP="00FD7304">
            <w:pPr>
              <w:widowControl/>
              <w:adjustRightInd w:val="0"/>
              <w:snapToGrid w:val="0"/>
              <w:jc w:val="right"/>
              <w:textAlignment w:val="center"/>
              <w:rPr>
                <w:rFonts w:ascii="Times New Roman" w:eastAsia="仿宋_GB2312" w:hAnsi="Times New Roman" w:cs="Times New Roman"/>
                <w:szCs w:val="21"/>
              </w:rPr>
            </w:pPr>
            <w:r>
              <w:rPr>
                <w:rStyle w:val="font31"/>
                <w:rFonts w:ascii="Times New Roman" w:eastAsia="仿宋_GB2312" w:hAnsi="Times New Roman" w:cs="Times New Roman" w:hint="default"/>
                <w:color w:val="auto"/>
                <w:sz w:val="21"/>
                <w:szCs w:val="21"/>
              </w:rPr>
              <w:t>加分项分数累计</w:t>
            </w:r>
          </w:p>
        </w:tc>
        <w:tc>
          <w:tcPr>
            <w:tcW w:w="85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7342D" w14:textId="77777777" w:rsidR="00FD7304" w:rsidRDefault="00FD7304" w:rsidP="00FD7304">
            <w:pPr>
              <w:widowControl/>
              <w:adjustRightInd w:val="0"/>
              <w:snapToGrid w:val="0"/>
              <w:jc w:val="center"/>
              <w:textAlignment w:val="center"/>
              <w:rPr>
                <w:rStyle w:val="font31"/>
                <w:rFonts w:ascii="Times New Roman" w:eastAsia="仿宋_GB2312" w:hAnsi="Times New Roman" w:cs="Times New Roman" w:hint="default"/>
                <w:color w:val="auto"/>
                <w:sz w:val="21"/>
                <w:szCs w:val="21"/>
              </w:rPr>
            </w:pPr>
            <w:r>
              <w:rPr>
                <w:rStyle w:val="font31"/>
                <w:rFonts w:ascii="Times New Roman" w:eastAsia="仿宋_GB2312" w:hAnsi="Times New Roman" w:cs="Times New Roman" w:hint="default"/>
                <w:b/>
                <w:color w:val="auto"/>
                <w:sz w:val="21"/>
                <w:szCs w:val="21"/>
              </w:rPr>
              <w:t>Ⅲ</w:t>
            </w:r>
          </w:p>
        </w:tc>
      </w:tr>
      <w:tr w:rsidR="00FD7304" w14:paraId="4E5A9F20" w14:textId="77777777">
        <w:trPr>
          <w:trHeight w:val="46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18651" w14:textId="77777777" w:rsidR="00FD7304" w:rsidRDefault="00FD7304" w:rsidP="00FD7304">
            <w:pPr>
              <w:widowControl/>
              <w:adjustRightInd w:val="0"/>
              <w:snapToGrid w:val="0"/>
              <w:jc w:val="center"/>
              <w:textAlignment w:val="center"/>
              <w:rPr>
                <w:rStyle w:val="font41"/>
                <w:rFonts w:ascii="Times New Roman" w:eastAsia="仿宋_GB2312" w:hAnsi="Times New Roman" w:cs="Times New Roman"/>
                <w:b w:val="0"/>
                <w:color w:val="auto"/>
                <w:sz w:val="24"/>
                <w:szCs w:val="24"/>
              </w:rPr>
            </w:pPr>
            <w:r>
              <w:rPr>
                <w:rStyle w:val="font41"/>
                <w:rFonts w:ascii="Times New Roman" w:eastAsia="黑体" w:hAnsi="Times New Roman" w:cs="Times New Roman"/>
                <w:b w:val="0"/>
                <w:color w:val="auto"/>
                <w:sz w:val="24"/>
                <w:szCs w:val="24"/>
              </w:rPr>
              <w:t>信用</w:t>
            </w:r>
            <w:proofErr w:type="gramStart"/>
            <w:r>
              <w:rPr>
                <w:rStyle w:val="font41"/>
                <w:rFonts w:ascii="Times New Roman" w:eastAsia="黑体" w:hAnsi="Times New Roman" w:cs="Times New Roman"/>
                <w:b w:val="0"/>
                <w:color w:val="auto"/>
                <w:sz w:val="24"/>
                <w:szCs w:val="24"/>
              </w:rPr>
              <w:t>记分值</w:t>
            </w:r>
            <w:proofErr w:type="gramEnd"/>
            <w:r>
              <w:rPr>
                <w:rStyle w:val="font41"/>
                <w:rFonts w:ascii="Times New Roman" w:eastAsia="黑体" w:hAnsi="Times New Roman" w:cs="Times New Roman"/>
                <w:b w:val="0"/>
                <w:color w:val="auto"/>
                <w:sz w:val="24"/>
                <w:szCs w:val="24"/>
              </w:rPr>
              <w:t>计算公式</w:t>
            </w:r>
            <w:r>
              <w:rPr>
                <w:rStyle w:val="font41"/>
                <w:rFonts w:ascii="Times New Roman" w:eastAsia="黑体" w:hAnsi="Times New Roman" w:cs="Times New Roman" w:hint="eastAsia"/>
                <w:b w:val="0"/>
                <w:color w:val="auto"/>
                <w:sz w:val="24"/>
                <w:szCs w:val="24"/>
              </w:rPr>
              <w:t>：</w:t>
            </w:r>
            <w:r>
              <w:rPr>
                <w:rStyle w:val="font41"/>
                <w:rFonts w:ascii="Times New Roman" w:eastAsia="黑体" w:hAnsi="Times New Roman" w:cs="Times New Roman"/>
                <w:b w:val="0"/>
                <w:color w:val="auto"/>
                <w:sz w:val="24"/>
                <w:szCs w:val="24"/>
              </w:rPr>
              <w:t>信用</w:t>
            </w:r>
            <w:proofErr w:type="gramStart"/>
            <w:r>
              <w:rPr>
                <w:rStyle w:val="font41"/>
                <w:rFonts w:ascii="Times New Roman" w:eastAsia="黑体" w:hAnsi="Times New Roman" w:cs="Times New Roman"/>
                <w:b w:val="0"/>
                <w:color w:val="auto"/>
                <w:sz w:val="24"/>
                <w:szCs w:val="24"/>
              </w:rPr>
              <w:t>记分值</w:t>
            </w:r>
            <w:proofErr w:type="gramEnd"/>
            <w:r>
              <w:rPr>
                <w:rStyle w:val="font31"/>
                <w:rFonts w:ascii="Times New Roman" w:eastAsia="仿宋_GB2312" w:hAnsi="Times New Roman" w:cs="Times New Roman" w:hint="default"/>
                <w:color w:val="auto"/>
                <w:sz w:val="21"/>
                <w:szCs w:val="21"/>
              </w:rPr>
              <w:t>=</w:t>
            </w:r>
            <w:proofErr w:type="spellStart"/>
            <w:r>
              <w:rPr>
                <w:rStyle w:val="font31"/>
                <w:rFonts w:ascii="Times New Roman" w:eastAsia="仿宋_GB2312" w:hAnsi="Times New Roman" w:cs="Times New Roman" w:hint="default"/>
                <w:b/>
                <w:color w:val="auto"/>
                <w:sz w:val="21"/>
                <w:szCs w:val="21"/>
              </w:rPr>
              <w:t>Ⅰ+Ⅱ-Ⅲ</w:t>
            </w:r>
            <w:proofErr w:type="spellEnd"/>
          </w:p>
        </w:tc>
      </w:tr>
    </w:tbl>
    <w:p w14:paraId="05977654" w14:textId="77777777" w:rsidR="00DE6D32" w:rsidRDefault="00DE6D32">
      <w:pPr>
        <w:rPr>
          <w:rFonts w:ascii="Times New Roman" w:hAnsi="Times New Roman" w:cs="Times New Roman"/>
        </w:rPr>
      </w:pPr>
    </w:p>
    <w:sectPr w:rsidR="00DE6D32">
      <w:pgSz w:w="11906" w:h="16838"/>
      <w:pgMar w:top="1701"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426ED" w14:textId="77777777" w:rsidR="007167A4" w:rsidRDefault="007167A4" w:rsidP="00FD7304">
      <w:r>
        <w:separator/>
      </w:r>
    </w:p>
  </w:endnote>
  <w:endnote w:type="continuationSeparator" w:id="0">
    <w:p w14:paraId="50ECD3DF" w14:textId="77777777" w:rsidR="007167A4" w:rsidRDefault="007167A4" w:rsidP="00F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7A603" w14:textId="77777777" w:rsidR="007167A4" w:rsidRDefault="007167A4" w:rsidP="00FD7304">
      <w:r>
        <w:separator/>
      </w:r>
    </w:p>
  </w:footnote>
  <w:footnote w:type="continuationSeparator" w:id="0">
    <w:p w14:paraId="3AA1A0F1" w14:textId="77777777" w:rsidR="007167A4" w:rsidRDefault="007167A4" w:rsidP="00FD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DEE3693"/>
    <w:rsid w:val="000B10A8"/>
    <w:rsid w:val="000B59C2"/>
    <w:rsid w:val="000D728B"/>
    <w:rsid w:val="000F3C48"/>
    <w:rsid w:val="00163FCE"/>
    <w:rsid w:val="001B620B"/>
    <w:rsid w:val="001D2025"/>
    <w:rsid w:val="00222F74"/>
    <w:rsid w:val="0022393C"/>
    <w:rsid w:val="002A1E6B"/>
    <w:rsid w:val="002A2026"/>
    <w:rsid w:val="002A3B35"/>
    <w:rsid w:val="002C0876"/>
    <w:rsid w:val="002D3A2C"/>
    <w:rsid w:val="002F2098"/>
    <w:rsid w:val="00303C5C"/>
    <w:rsid w:val="00310891"/>
    <w:rsid w:val="00322E44"/>
    <w:rsid w:val="00323AFB"/>
    <w:rsid w:val="003B16C2"/>
    <w:rsid w:val="00442370"/>
    <w:rsid w:val="00455344"/>
    <w:rsid w:val="0047304E"/>
    <w:rsid w:val="004B297D"/>
    <w:rsid w:val="00573022"/>
    <w:rsid w:val="00591450"/>
    <w:rsid w:val="005B679D"/>
    <w:rsid w:val="00603470"/>
    <w:rsid w:val="006136A2"/>
    <w:rsid w:val="00644F8C"/>
    <w:rsid w:val="006D642D"/>
    <w:rsid w:val="006E6C23"/>
    <w:rsid w:val="006F4ABD"/>
    <w:rsid w:val="007167A4"/>
    <w:rsid w:val="007270DC"/>
    <w:rsid w:val="007703F6"/>
    <w:rsid w:val="00773B4D"/>
    <w:rsid w:val="00793958"/>
    <w:rsid w:val="00795975"/>
    <w:rsid w:val="007A2E24"/>
    <w:rsid w:val="007D2050"/>
    <w:rsid w:val="007E06CC"/>
    <w:rsid w:val="007F7D3A"/>
    <w:rsid w:val="00806F50"/>
    <w:rsid w:val="008A6C42"/>
    <w:rsid w:val="008D4A1B"/>
    <w:rsid w:val="00920BFF"/>
    <w:rsid w:val="00982FC5"/>
    <w:rsid w:val="009A45FA"/>
    <w:rsid w:val="009E52DA"/>
    <w:rsid w:val="00A450C2"/>
    <w:rsid w:val="00B13A6D"/>
    <w:rsid w:val="00B719F7"/>
    <w:rsid w:val="00B9738B"/>
    <w:rsid w:val="00BB2AD3"/>
    <w:rsid w:val="00BB7802"/>
    <w:rsid w:val="00C06EA8"/>
    <w:rsid w:val="00C150E9"/>
    <w:rsid w:val="00C65A58"/>
    <w:rsid w:val="00C8277F"/>
    <w:rsid w:val="00D43C7C"/>
    <w:rsid w:val="00D919A5"/>
    <w:rsid w:val="00DD7669"/>
    <w:rsid w:val="00DE6D32"/>
    <w:rsid w:val="00E44E02"/>
    <w:rsid w:val="00EB320D"/>
    <w:rsid w:val="00F92D8B"/>
    <w:rsid w:val="00FD7304"/>
    <w:rsid w:val="00FF18E3"/>
    <w:rsid w:val="05E85BC4"/>
    <w:rsid w:val="1EBC16C8"/>
    <w:rsid w:val="22B715DF"/>
    <w:rsid w:val="2BE22310"/>
    <w:rsid w:val="2C0D6B14"/>
    <w:rsid w:val="39232C57"/>
    <w:rsid w:val="3DEE3693"/>
    <w:rsid w:val="40006C67"/>
    <w:rsid w:val="410C1210"/>
    <w:rsid w:val="499061DB"/>
    <w:rsid w:val="5BBC477E"/>
    <w:rsid w:val="615C17BD"/>
    <w:rsid w:val="704B40DB"/>
    <w:rsid w:val="745A5434"/>
    <w:rsid w:val="7E6E2B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2022C"/>
  <w15:docId w15:val="{47F995F4-DD36-4DAF-AFBC-8413300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2">
    <w:name w:val="样式2"/>
    <w:basedOn w:val="6"/>
    <w:next w:val="a"/>
    <w:qFormat/>
    <w:pPr>
      <w:spacing w:line="360" w:lineRule="auto"/>
      <w:jc w:val="center"/>
    </w:pPr>
  </w:style>
  <w:style w:type="character" w:customStyle="1" w:styleId="font41">
    <w:name w:val="font41"/>
    <w:basedOn w:val="a0"/>
    <w:qFormat/>
    <w:rPr>
      <w:rFonts w:ascii="方正仿宋_GBK" w:eastAsia="方正仿宋_GBK" w:hAnsi="方正仿宋_GBK" w:cs="方正仿宋_GBK"/>
      <w:b/>
      <w:color w:val="000000"/>
      <w:sz w:val="22"/>
      <w:szCs w:val="22"/>
      <w:u w:val="none"/>
    </w:rPr>
  </w:style>
  <w:style w:type="character" w:customStyle="1" w:styleId="font01">
    <w:name w:val="font01"/>
    <w:basedOn w:val="a0"/>
    <w:qFormat/>
    <w:rPr>
      <w:rFonts w:ascii="Times New Roman" w:hAnsi="Times New Roman" w:cs="Times New Roman" w:hint="default"/>
      <w:b/>
      <w:color w:val="000000"/>
      <w:sz w:val="22"/>
      <w:szCs w:val="22"/>
      <w:u w:val="none"/>
    </w:rPr>
  </w:style>
  <w:style w:type="character" w:customStyle="1" w:styleId="font31">
    <w:name w:val="font31"/>
    <w:basedOn w:val="a0"/>
    <w:qFormat/>
    <w:rPr>
      <w:rFonts w:ascii="方正仿宋_GBK" w:eastAsia="方正仿宋_GBK" w:hAnsi="方正仿宋_GBK" w:cs="方正仿宋_GBK"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方正仿宋_GBK" w:eastAsia="方正仿宋_GBK" w:hAnsi="方正仿宋_GBK" w:cs="方正仿宋_GBK"/>
      <w:b/>
      <w:color w:val="000000"/>
      <w:sz w:val="22"/>
      <w:szCs w:val="22"/>
      <w:u w:val="none"/>
    </w:rPr>
  </w:style>
  <w:style w:type="character" w:customStyle="1" w:styleId="font51">
    <w:name w:val="font51"/>
    <w:basedOn w:val="a0"/>
    <w:qFormat/>
    <w:rPr>
      <w:rFonts w:ascii="方正仿宋_GBK" w:eastAsia="方正仿宋_GBK" w:hAnsi="方正仿宋_GBK" w:cs="方正仿宋_GBK"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font12">
    <w:name w:val="font12"/>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ly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江苏百盛工程咨询有限公司</dc:creator>
  <cp:lastModifiedBy>502893282@qq.com</cp:lastModifiedBy>
  <cp:revision>4</cp:revision>
  <dcterms:created xsi:type="dcterms:W3CDTF">2021-11-19T06:51:00Z</dcterms:created>
  <dcterms:modified xsi:type="dcterms:W3CDTF">2021-12-22T03:15:00Z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