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3E" w:rsidRPr="00770F9C" w:rsidRDefault="00434A3E" w:rsidP="00434A3E">
      <w:pPr>
        <w:rPr>
          <w:rFonts w:ascii="黑体" w:eastAsia="黑体" w:hAnsi="黑体" w:hint="eastAsia"/>
          <w:sz w:val="28"/>
          <w:szCs w:val="28"/>
        </w:rPr>
      </w:pPr>
      <w:r w:rsidRPr="00770F9C">
        <w:rPr>
          <w:rFonts w:ascii="黑体" w:eastAsia="黑体" w:hAnsi="黑体" w:hint="eastAsia"/>
          <w:sz w:val="28"/>
          <w:szCs w:val="28"/>
        </w:rPr>
        <w:t>附件</w:t>
      </w:r>
    </w:p>
    <w:p w:rsidR="00434A3E" w:rsidRDefault="00434A3E" w:rsidP="00434A3E">
      <w:pPr>
        <w:spacing w:line="660" w:lineRule="exact"/>
        <w:jc w:val="center"/>
        <w:rPr>
          <w:rFonts w:ascii="方正小标宋简体" w:eastAsia="方正小标宋简体" w:hAnsi="宋体" w:hint="eastAsia"/>
          <w:sz w:val="42"/>
          <w:szCs w:val="44"/>
        </w:rPr>
      </w:pPr>
      <w:bookmarkStart w:id="0" w:name="_GoBack"/>
      <w:r w:rsidRPr="00770F9C">
        <w:rPr>
          <w:rFonts w:ascii="方正小标宋简体" w:eastAsia="方正小标宋简体" w:hAnsi="宋体" w:hint="eastAsia"/>
          <w:sz w:val="42"/>
          <w:szCs w:val="44"/>
        </w:rPr>
        <w:t>《营运客车类型划分及等级评定》</w:t>
      </w:r>
    </w:p>
    <w:p w:rsidR="00434A3E" w:rsidRPr="00770F9C" w:rsidRDefault="00434A3E" w:rsidP="00434A3E">
      <w:pPr>
        <w:spacing w:line="660" w:lineRule="exact"/>
        <w:jc w:val="center"/>
        <w:rPr>
          <w:rFonts w:ascii="方正小标宋简体" w:eastAsia="方正小标宋简体" w:hAnsi="宋体" w:hint="eastAsia"/>
          <w:sz w:val="42"/>
          <w:szCs w:val="44"/>
        </w:rPr>
      </w:pPr>
      <w:r w:rsidRPr="00770F9C">
        <w:rPr>
          <w:rFonts w:ascii="方正小标宋简体" w:eastAsia="方正小标宋简体" w:hAnsi="宋体" w:hint="eastAsia"/>
          <w:sz w:val="42"/>
          <w:szCs w:val="44"/>
        </w:rPr>
        <w:t>（JT/T 325-2018）第1号修改单</w:t>
      </w:r>
    </w:p>
    <w:bookmarkEnd w:id="0"/>
    <w:p w:rsidR="00434A3E" w:rsidRDefault="00434A3E" w:rsidP="00434A3E">
      <w:pPr>
        <w:rPr>
          <w:rFonts w:ascii="仿宋_GB2312" w:hAnsi="仿宋_GB2312" w:hint="eastAsia"/>
          <w:sz w:val="28"/>
          <w:szCs w:val="28"/>
        </w:rPr>
      </w:pPr>
    </w:p>
    <w:p w:rsidR="00434A3E" w:rsidRPr="00770F9C" w:rsidRDefault="00434A3E" w:rsidP="00434A3E">
      <w:pPr>
        <w:ind w:firstLineChars="200" w:firstLine="412"/>
        <w:rPr>
          <w:rFonts w:ascii="Calibri" w:eastAsia="宋体" w:hAnsi="Calibri"/>
          <w:kern w:val="0"/>
          <w:sz w:val="21"/>
          <w:szCs w:val="21"/>
        </w:rPr>
      </w:pPr>
      <w:r w:rsidRPr="00770F9C">
        <w:rPr>
          <w:rFonts w:ascii="Calibri" w:eastAsia="宋体" w:hAnsi="Calibri" w:hint="eastAsia"/>
          <w:kern w:val="0"/>
          <w:sz w:val="21"/>
          <w:szCs w:val="21"/>
        </w:rPr>
        <w:t>1.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在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JT/T 325-2018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《营运客车类型划分及等级评定》中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 xml:space="preserve"> 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“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5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等级划分”表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2</w:t>
      </w:r>
      <w:r w:rsidRPr="00770F9C">
        <w:rPr>
          <w:rFonts w:ascii="Calibri" w:eastAsia="宋体" w:hAnsi="Calibri" w:hint="eastAsia"/>
          <w:kern w:val="0"/>
          <w:sz w:val="21"/>
          <w:szCs w:val="21"/>
        </w:rPr>
        <w:t>中乘用车序列增加“普通级”。</w:t>
      </w:r>
    </w:p>
    <w:p w:rsidR="00434A3E" w:rsidRPr="00770F9C" w:rsidRDefault="00434A3E" w:rsidP="00434A3E">
      <w:pPr>
        <w:jc w:val="center"/>
        <w:rPr>
          <w:rFonts w:ascii="黑体" w:eastAsia="黑体" w:hAnsi="黑体"/>
          <w:sz w:val="21"/>
          <w:szCs w:val="21"/>
        </w:rPr>
      </w:pPr>
      <w:r w:rsidRPr="00770F9C">
        <w:rPr>
          <w:rFonts w:ascii="Calibri" w:eastAsia="宋体" w:hAnsi="Calibri" w:hint="eastAsia"/>
          <w:sz w:val="21"/>
          <w:szCs w:val="21"/>
        </w:rPr>
        <w:t xml:space="preserve">  </w:t>
      </w:r>
      <w:r w:rsidRPr="00770F9C">
        <w:rPr>
          <w:rFonts w:ascii="黑体" w:eastAsia="黑体" w:hAnsi="黑体" w:hint="eastAsia"/>
          <w:sz w:val="21"/>
          <w:szCs w:val="21"/>
        </w:rPr>
        <w:t>表2  等级划分</w:t>
      </w:r>
    </w:p>
    <w:tbl>
      <w:tblPr>
        <w:tblpPr w:leftFromText="180" w:rightFromText="180" w:vertAnchor="text" w:horzAnchor="page" w:tblpX="1639" w:tblpY="359"/>
        <w:tblOverlap w:val="never"/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434A3E" w:rsidRPr="00770F9C" w:rsidTr="00F614A5">
        <w:trPr>
          <w:cantSplit/>
          <w:trHeight w:val="361"/>
        </w:trPr>
        <w:tc>
          <w:tcPr>
            <w:tcW w:w="396" w:type="dxa"/>
            <w:vMerge w:val="restart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128" w:type="dxa"/>
            <w:gridSpan w:val="18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 xml:space="preserve">客    车 </w:t>
            </w:r>
          </w:p>
        </w:tc>
        <w:tc>
          <w:tcPr>
            <w:tcW w:w="1188" w:type="dxa"/>
            <w:gridSpan w:val="3"/>
            <w:vMerge w:val="restart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乘用车</w:t>
            </w:r>
          </w:p>
        </w:tc>
      </w:tr>
      <w:tr w:rsidR="00434A3E" w:rsidRPr="00770F9C" w:rsidTr="00F614A5">
        <w:trPr>
          <w:cantSplit/>
          <w:trHeight w:val="433"/>
        </w:trPr>
        <w:tc>
          <w:tcPr>
            <w:tcW w:w="396" w:type="dxa"/>
            <w:vMerge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特大型</w:t>
            </w:r>
          </w:p>
        </w:tc>
        <w:tc>
          <w:tcPr>
            <w:tcW w:w="1980" w:type="dxa"/>
            <w:gridSpan w:val="5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大型</w:t>
            </w:r>
          </w:p>
        </w:tc>
        <w:tc>
          <w:tcPr>
            <w:tcW w:w="1584" w:type="dxa"/>
            <w:gridSpan w:val="4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中型</w:t>
            </w:r>
          </w:p>
        </w:tc>
        <w:tc>
          <w:tcPr>
            <w:tcW w:w="1584" w:type="dxa"/>
            <w:gridSpan w:val="4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小型</w:t>
            </w:r>
          </w:p>
        </w:tc>
        <w:tc>
          <w:tcPr>
            <w:tcW w:w="1188" w:type="dxa"/>
            <w:gridSpan w:val="3"/>
            <w:vMerge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34A3E" w:rsidRPr="00770F9C" w:rsidTr="00F614A5">
        <w:trPr>
          <w:trHeight w:val="2364"/>
        </w:trPr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等级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通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一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通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一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通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一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通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6" w:type="dxa"/>
            <w:vAlign w:val="center"/>
          </w:tcPr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通</w:t>
            </w:r>
          </w:p>
          <w:p w:rsidR="00434A3E" w:rsidRPr="00770F9C" w:rsidRDefault="00434A3E" w:rsidP="00F614A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级</w:t>
            </w:r>
          </w:p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34A3E" w:rsidRPr="00770F9C" w:rsidRDefault="00434A3E" w:rsidP="00434A3E">
      <w:pPr>
        <w:numPr>
          <w:ilvl w:val="0"/>
          <w:numId w:val="1"/>
        </w:numPr>
        <w:rPr>
          <w:rFonts w:ascii="宋体" w:eastAsia="宋体" w:hAnsi="宋体"/>
          <w:sz w:val="21"/>
          <w:szCs w:val="21"/>
        </w:rPr>
      </w:pPr>
      <w:r w:rsidRPr="00770F9C">
        <w:rPr>
          <w:rFonts w:ascii="宋体" w:eastAsia="宋体" w:hAnsi="宋体" w:hint="eastAsia"/>
          <w:sz w:val="21"/>
          <w:szCs w:val="21"/>
        </w:rPr>
        <w:t>在“8.3乘用车等级评定必要条件”的表6中增加“普通级”及相关评定条件。具体条款如下：</w:t>
      </w:r>
    </w:p>
    <w:p w:rsidR="00434A3E" w:rsidRPr="00770F9C" w:rsidRDefault="00434A3E" w:rsidP="00434A3E">
      <w:pPr>
        <w:jc w:val="center"/>
        <w:rPr>
          <w:rFonts w:ascii="黑体" w:eastAsia="黑体" w:hAnsi="宋体"/>
          <w:sz w:val="21"/>
          <w:szCs w:val="21"/>
        </w:rPr>
      </w:pPr>
      <w:r w:rsidRPr="00770F9C">
        <w:rPr>
          <w:rFonts w:ascii="黑体" w:eastAsia="黑体" w:hAnsi="宋体" w:hint="eastAsia"/>
          <w:sz w:val="21"/>
          <w:szCs w:val="21"/>
        </w:rPr>
        <w:t>表6 乘用车等级评定必要条件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462"/>
        <w:gridCol w:w="1490"/>
        <w:gridCol w:w="1351"/>
      </w:tblGrid>
      <w:tr w:rsidR="00434A3E" w:rsidRPr="00770F9C" w:rsidTr="00F614A5">
        <w:trPr>
          <w:tblHeader/>
        </w:trPr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评定项目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高级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中级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普通级</w:t>
            </w:r>
          </w:p>
        </w:tc>
      </w:tr>
      <w:tr w:rsidR="00434A3E" w:rsidRPr="00770F9C" w:rsidTr="00F614A5">
        <w:tc>
          <w:tcPr>
            <w:tcW w:w="4219" w:type="dxa"/>
            <w:gridSpan w:val="2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轴距（mm）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≥3000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≥2800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≥2700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前后盘式制动器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a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ABS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ESC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b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动力转向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胎压监测报警系统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自动紧急制动系统(AEBS)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4219" w:type="dxa"/>
            <w:gridSpan w:val="2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车道偏离预警系统(LDWS)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日间行车灯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盲区监测系统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倒车雷达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1951" w:type="dxa"/>
            <w:vMerge w:val="restart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比功率（kW/t）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d</w:t>
            </w:r>
          </w:p>
        </w:tc>
        <w:tc>
          <w:tcPr>
            <w:tcW w:w="2268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汽油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≥34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≥24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≥24</w:t>
            </w:r>
          </w:p>
        </w:tc>
      </w:tr>
      <w:tr w:rsidR="00434A3E" w:rsidRPr="00770F9C" w:rsidTr="00F614A5">
        <w:trPr>
          <w:trHeight w:val="327"/>
        </w:trPr>
        <w:tc>
          <w:tcPr>
            <w:tcW w:w="1951" w:type="dxa"/>
            <w:vMerge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柴油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≥24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≥21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≥21</w:t>
            </w:r>
          </w:p>
        </w:tc>
      </w:tr>
      <w:tr w:rsidR="00434A3E" w:rsidRPr="00770F9C" w:rsidTr="00F614A5">
        <w:trPr>
          <w:trHeight w:val="151"/>
        </w:trPr>
        <w:tc>
          <w:tcPr>
            <w:tcW w:w="1951" w:type="dxa"/>
            <w:vMerge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燃气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≥24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≥21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≥21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空气调节与控制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冷暖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冷暖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冷暖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空调制冷量（人均）（kj/h）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≥1900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≥1800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≥1800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空调供热量（人均）（kj/h）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≥1900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≥1800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≥1800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强制通风换气量（人均）（m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3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/h）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≥25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≥20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温度自动控制装置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灭火器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主驾安全气囊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副驾安全气囊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e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座椅深 （mm）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≥420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≥420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≥400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座椅宽 （mm）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≥420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≥420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≥400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靠背高 （mm）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f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≥720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≥650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≥650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靠背角度可调(调节角度向后15</w:t>
            </w:r>
            <w:r w:rsidRPr="00770F9C">
              <w:rPr>
                <w:rFonts w:ascii="宋体" w:eastAsia="宋体" w:hAnsi="宋体"/>
                <w:sz w:val="21"/>
                <w:szCs w:val="21"/>
              </w:rPr>
              <w:t>°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～30</w:t>
            </w:r>
            <w:r w:rsidRPr="00770F9C">
              <w:rPr>
                <w:rFonts w:ascii="宋体" w:eastAsia="宋体" w:hAnsi="宋体"/>
                <w:sz w:val="21"/>
                <w:szCs w:val="21"/>
              </w:rPr>
              <w:t>°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)</w:t>
            </w: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g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座间距（同方向）（mm）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≥650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≥650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≥630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汽车安全带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卫星定位装置</w:t>
            </w:r>
          </w:p>
        </w:tc>
        <w:tc>
          <w:tcPr>
            <w:tcW w:w="1462" w:type="dxa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</w:tr>
      <w:tr w:rsidR="00434A3E" w:rsidRPr="00770F9C" w:rsidTr="00F614A5">
        <w:tc>
          <w:tcPr>
            <w:tcW w:w="4219" w:type="dxa"/>
            <w:gridSpan w:val="2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通用串行总线USB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配置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-</w:t>
            </w:r>
          </w:p>
        </w:tc>
      </w:tr>
      <w:tr w:rsidR="00434A3E" w:rsidRPr="00770F9C" w:rsidTr="00F614A5">
        <w:tc>
          <w:tcPr>
            <w:tcW w:w="4219" w:type="dxa"/>
            <w:gridSpan w:val="2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轮胎断面宽度（mm）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≥195</w:t>
            </w:r>
          </w:p>
        </w:tc>
        <w:tc>
          <w:tcPr>
            <w:tcW w:w="1490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≥195</w:t>
            </w:r>
          </w:p>
        </w:tc>
        <w:tc>
          <w:tcPr>
            <w:tcW w:w="1351" w:type="dxa"/>
            <w:shd w:val="clear" w:color="auto" w:fill="FFFFFF"/>
            <w:vAlign w:val="center"/>
          </w:tcPr>
          <w:p w:rsidR="00434A3E" w:rsidRPr="00770F9C" w:rsidRDefault="00434A3E" w:rsidP="00F614A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</w:rPr>
              <w:t>≥175</w:t>
            </w:r>
          </w:p>
        </w:tc>
      </w:tr>
      <w:tr w:rsidR="00434A3E" w:rsidRPr="00770F9C" w:rsidTr="00F614A5">
        <w:trPr>
          <w:trHeight w:val="699"/>
        </w:trPr>
        <w:tc>
          <w:tcPr>
            <w:tcW w:w="8522" w:type="dxa"/>
            <w:gridSpan w:val="5"/>
          </w:tcPr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a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普通级后轮装备盘式制动器于标准第1号修改单发布后第7个月开始实施。</w:t>
            </w:r>
          </w:p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b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普通级该配置于标准第1号修改单发布后第7个月开始实施。</w:t>
            </w:r>
          </w:p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c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胎压监测系统或胎压报警装置，能通过仪表台向驾驶员显示相关信息。</w:t>
            </w:r>
          </w:p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d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不包含电动乘用车。</w:t>
            </w:r>
          </w:p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e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普通级该配置于标准第1号修改单发布后第7个月开始实施。</w:t>
            </w:r>
          </w:p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f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>若配有头枕，靠背高含头枕高度。</w:t>
            </w:r>
          </w:p>
          <w:p w:rsidR="00434A3E" w:rsidRPr="00770F9C" w:rsidRDefault="00434A3E" w:rsidP="00F614A5">
            <w:pPr>
              <w:spacing w:line="4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0F9C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g</w:t>
            </w:r>
            <w:r w:rsidRPr="00770F9C">
              <w:rPr>
                <w:rFonts w:ascii="宋体" w:eastAsia="宋体" w:hAnsi="宋体" w:hint="eastAsia"/>
                <w:sz w:val="21"/>
                <w:szCs w:val="21"/>
              </w:rPr>
              <w:t xml:space="preserve">该配置高级、中级最后一排除外；普通级仅第一排靠背角度可调。 </w:t>
            </w:r>
          </w:p>
        </w:tc>
      </w:tr>
    </w:tbl>
    <w:p w:rsidR="00434A3E" w:rsidRPr="00770F9C" w:rsidRDefault="00434A3E" w:rsidP="00434A3E">
      <w:pPr>
        <w:rPr>
          <w:rFonts w:ascii="黑体" w:eastAsia="黑体" w:hAnsi="Calibri"/>
          <w:sz w:val="28"/>
          <w:szCs w:val="28"/>
        </w:rPr>
      </w:pPr>
    </w:p>
    <w:p w:rsidR="00177A50" w:rsidRPr="00434A3E" w:rsidRDefault="00177A50"/>
    <w:sectPr w:rsidR="00177A50" w:rsidRPr="00434A3E" w:rsidSect="00BB296F">
      <w:pgSz w:w="11907" w:h="16840" w:code="9"/>
      <w:pgMar w:top="1701" w:right="1531" w:bottom="1701" w:left="1531" w:header="0" w:footer="1418" w:gutter="0"/>
      <w:cols w:space="720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B1F3CB5"/>
    <w:multiLevelType w:val="singleLevel"/>
    <w:tmpl w:val="CB1F3CB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3E"/>
    <w:rsid w:val="00177A50"/>
    <w:rsid w:val="004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FF193-3656-4EAF-AAA1-9521FB7F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3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2020-05-21T03:08:00Z</dcterms:created>
  <dcterms:modified xsi:type="dcterms:W3CDTF">2020-05-21T03:10:00Z</dcterms:modified>
</cp:coreProperties>
</file>