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</w:rPr>
        <w:t>省交通建设项目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  <w:lang w:eastAsia="zh-CN"/>
        </w:rPr>
        <w:t>关键人员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</w:rPr>
        <w:t>履约监督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4"/>
          <w:sz w:val="44"/>
          <w:szCs w:val="44"/>
          <w:shd w:val="clear" w:fill="FFFFFF"/>
        </w:rPr>
        <w:t>管理办法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726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第一章 总  则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 为加强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交通建设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管理，增强诚信履约意识，建立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交通建设项目关键人员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履约监管长效机制，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根据国家和省有关规定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，结合本省实际，制定本办法。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36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本办法适用范围为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全省在建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公路、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地方铁路、水运、城市轨道交通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等建设项目，人员包括建设、施工、监理、设计（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常驻施工现场的设计代表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工地试验室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的关键履约人员。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36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 本办法所称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监管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利用手机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设备采集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信息，通过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山东省公路水运建设市场综合服务管理系统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中主要人员履约管理系统（以下简称“履约管理系统”）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实时记录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履约人员考勤信息、履约记录等情况，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实现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的实时监管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统计分析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考勤结果应用于交通建设市场信用评价。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交通建设项目实施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勤管理的关键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人员包括：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单位（含代建单位）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的项目负责人、技术负责人。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（二）施工单位的项目经理、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color w:val="333333"/>
          <w:spacing w:val="0"/>
          <w:sz w:val="32"/>
          <w:szCs w:val="32"/>
          <w:shd w:val="clear" w:fill="FFFFFF"/>
        </w:rPr>
        <w:t>副经理、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安全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生产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（三）监理单位的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总监理工程师</w:t>
      </w:r>
      <w:r>
        <w:rPr>
          <w:rFonts w:hint="eastAsia" w:ascii="仿宋" w:hAnsi="仿宋" w:eastAsia="仿宋" w:cs="仿宋"/>
          <w:strike w:val="0"/>
          <w:color w:val="auto"/>
          <w:sz w:val="32"/>
          <w:szCs w:val="32"/>
          <w:lang w:val="en-US" w:eastAsia="zh-CN"/>
        </w:rPr>
        <w:t>、副总监理工程师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、驻地监理工程师、专业监理工程师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设计单位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提供施工现场配合服务的设计代表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工地试验室的授权负责人和试验检测师。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3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交通建设项目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管理遵循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客观、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公正、公开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公平的原则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，确保结果真实、完整、及时、准确。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第二章 职责及分工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人员履约监督管理工作实行统一管理、分级负责。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省交通运输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负责全省交通建设项目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履约监督管理工作，主要职责为：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7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（一）制订全省交通建设项目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履约监督管理办法，督促指导全省交通建设项目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7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二）组织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建设、升级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、维护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负责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监督管理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跨设区的市的交通建设项目关键人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考核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省厅建管处、公路处、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铁路机场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处、水运处、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城市交通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处依照职责分工，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对监管的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交通建设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关键履约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履约情况进行督查，审定申诉意见并作出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处理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，有关情况及时纳入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管理系统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（四）定期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全省交通建设项目关键人员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情况，将履约情况纳入年度交通建设市场信用评价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7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设区的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市交通运输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主管部门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负责本行政区域内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不跨设区的市的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交通建设项目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管理工作，对监管的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交通建设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履约情况进行督查，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审定申诉意见并作出处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有关情况及时纳入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3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省交通质监机构、履约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管理系统维护单位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按职责分工负责全省交通建设项目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具体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工作，主要职责为：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7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厅工程建设事务中心、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地方铁路质监机构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：负责检查督促其管理职责范围内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交通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项目建立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使用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核查参建单位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人员相关信息的真实性、合规性、准确性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，定期开展人员履约情况抽查，有关情况及时纳入考勤管理系统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7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管理系统维护单位：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考勤管理系统的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维护及人员培训，统一分配系统登录账号、密码，编制系统的操作规程和技术要求。负责系统基础支撑环境、安全漏洞扫描、数据共享、技术监管、数据安全等相关服务。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3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项目建设单位负责项目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关键人员履约管理工作，履约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管理系统的具体实施及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管理工作，主要职责为：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负责录入建设单位考勤人员信息，明确关键人员每月在岗时间。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负责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依据国家、省有关规定，在招标文件中分类明确各类投标单位关键人员和每月在岗时间；合同签约完成后工程开工前，组织参建单位在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管理系统录入履约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关键人员、按要求采集相关信息、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设置考勤时间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确保考勤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信息真实、完整、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准确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负责通过“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爱山东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“山东交通工程建设管理”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小程序设置项目考勤地点和范围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color w:val="333333"/>
          <w:spacing w:val="0"/>
          <w:sz w:val="32"/>
          <w:szCs w:val="32"/>
          <w:shd w:val="clear" w:fill="FFFFFF"/>
          <w:lang w:val="en-US" w:eastAsia="zh-CN"/>
        </w:rPr>
        <w:t>负责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参建单位关键履约人员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变更、休假、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岗位终止、停（复）工、异议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3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项目参建单位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管理系统的具体实施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工作，主要职责为：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3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负责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录入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和及时更新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本单位信息及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人员信息，对录入人员信息真实性、合规性、准确性负责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负责本单位关键履约人员因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变更、休假、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岗位终止、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停（复）工、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异议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等事项的申报。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监理单位按上述规定做好本单位关键人员考勤。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在施工单位提交分部工程开工申请时，应按规定对施工单位合同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人员的配备是否满足要求进行审查，在监理过程中检查到岗履职情况，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并纳入监理月度报告和监理日志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章 考勤方法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和应用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36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各级交通运输主管部门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管理系统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交通建设项目关键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人员履约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监管，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实现工程项目建设期的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、变更、履约、退场全过程管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及时查处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行为，规范工程管理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 履约考勤自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工程开工令签发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之日起至项目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交工验收之日止。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时间，应结合工程项目总体施工组织设计和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工程实体开工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时间确定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可分批进场、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；在单位工程完工后，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部分关键履约人员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经参建单位申请，建设单位同意，可分批退场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，有关证明材料纳入考勤管理系统后，退出考勤。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 考勤规则：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（一）人脸识别考勤是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人员到岗履职的必经程序和重要依据，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关键人员应按规定考勤，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color w:val="333333"/>
          <w:spacing w:val="0"/>
          <w:sz w:val="32"/>
          <w:szCs w:val="32"/>
          <w:shd w:val="clear" w:fill="FFFFFF"/>
          <w:lang w:eastAsia="zh-CN"/>
        </w:rPr>
        <w:t>考勤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位置应在工地或项目部所在场地。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对各单位关键人员实施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天考勤，按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统计。每月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到岗考勤次数不得少于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国家法定工作时间或招标文件约定时间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两者不一致的以后者为准，招标文件未注明的以前者为准。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（三）各参建单位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人员须在每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至24点之间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设置的考勤地理位置范围内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通过手机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刷脸考勤一次。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在月中发生人员变更的，按本条第二款规定执行。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国家法定节假日，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各参建单位的值班关键履约人员必须参加当日考勤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8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（五）关键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人员不得同时在不同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项目或单位履约考勤。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履约人员不按规定考勤且考勤次数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达不到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要求的，视同缺岗，考勤管理数据作为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缺勤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处理的原始依据。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对因人员变更手续不完善、录入时间不及时造成的人员考勤数据偏差或出勤率低，由责任单位自行负责。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8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遇有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系统故障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或网络不畅等影响考勤的突发情况，参建单位应及时向项目建设单位报告，由项目建设单位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color w:val="333333"/>
          <w:spacing w:val="0"/>
          <w:sz w:val="32"/>
          <w:szCs w:val="32"/>
          <w:shd w:val="clear" w:fill="FFFFFF"/>
        </w:rPr>
        <w:t>协助提供考勤</w:t>
      </w:r>
      <w:r>
        <w:rPr>
          <w:rFonts w:hint="eastAsia" w:ascii="仿宋" w:hAnsi="仿宋" w:eastAsia="仿宋" w:cs="仿宋"/>
          <w:i w:val="0"/>
          <w:iCs w:val="0"/>
          <w:caps w:val="0"/>
          <w:strike w:val="0"/>
          <w:color w:val="333333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并在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管理系统中注明。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考勤管理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系统每月初锁定上月数据，出具相关报表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，有关单位和人员登录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管理系统后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可查看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相关情况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 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各单位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对有异议的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信用评价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扣分，实行“一月一申诉”原则，通过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考勤管理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系统在线受理。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从业单位在考勤管理系统提出异议申诉后，由建设单位进行对异议申诉进行处理，对建设单位处理结果仍然有异议的，可向交通运输主管部门继续提出异议申诉。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因合同规定的不可抗力及以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原因，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申诉后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免予扣分，否则视为缺勤：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（一）发生重大疾病（须医院开具的医学诊断证明）不能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考勤的。如因病假导致60个自然日（含双休日、节假日）以上不能正常履职考勤的，按规定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程序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更换履约人员并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违约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处理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完成的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（二）因公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重大事件不能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考勤的（须出具相关证明材料）。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（三）因自然灾害、抢险救援等不可抗拒因素导致不能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考勤的。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（四）因其他特殊原因（如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非参建单位原因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长期停工、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疫情隔离或经备案批准的休假等）不能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考勤的。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关键人员存在以下情形之一的，由所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监管的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交通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主管部门对责任单位分别采取提醒、约谈、通报、惩戒措施。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参建单位每月存在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虚假考勤、异地考勤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累计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2人次及以上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或参建单位每月累计缺勤达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10人次及以上的；建设项目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每月存在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虚假考勤、异地考勤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累计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5人次及以上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工程建设项目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每月累计缺勤达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20人次及以上的；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rightChars="0"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（二）一年内（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1月1日至12月31日）上述情形发生1次的，发出工作提醒函；发生2次的，发出工作约谈函；发生3次及以上的，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全省通报并依法惩戒。责任单位整改落实措施及时纳入考勤管理系统。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43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关键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履约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考勤结果按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国家、省建设市场管理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建设单位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、交通运输主管部门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纳入参建单位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信用评价，扣分遵循“同一问题同一时间内不重复处理，扣分就高不就低”的原则。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36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第二十条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本办法自202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日起施行，有效期至202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日止。</w:t>
      </w:r>
    </w:p>
    <w:p/>
    <w:p/>
    <w:p/>
    <w:p/>
    <w:p/>
    <w:p/>
    <w:p/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8142F"/>
    <w:multiLevelType w:val="singleLevel"/>
    <w:tmpl w:val="8AC814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9CFE6D"/>
    <w:multiLevelType w:val="singleLevel"/>
    <w:tmpl w:val="269CFE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5FEB6E7"/>
    <w:multiLevelType w:val="singleLevel"/>
    <w:tmpl w:val="35FEB6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TI3OGUzMzNmNTFhYWE3MDkyNjljN2ZjNGE1YzkifQ=="/>
  </w:docVars>
  <w:rsids>
    <w:rsidRoot w:val="3BC675F7"/>
    <w:rsid w:val="091658F6"/>
    <w:rsid w:val="0C3A1976"/>
    <w:rsid w:val="0E963BB4"/>
    <w:rsid w:val="15DD2016"/>
    <w:rsid w:val="1ABE574F"/>
    <w:rsid w:val="1CE007A0"/>
    <w:rsid w:val="22334FAD"/>
    <w:rsid w:val="23D7466E"/>
    <w:rsid w:val="24CF13FC"/>
    <w:rsid w:val="24FE3789"/>
    <w:rsid w:val="25E44915"/>
    <w:rsid w:val="29B66553"/>
    <w:rsid w:val="2CE60B25"/>
    <w:rsid w:val="2EF754AD"/>
    <w:rsid w:val="301127EA"/>
    <w:rsid w:val="30D10ECE"/>
    <w:rsid w:val="31BD5D81"/>
    <w:rsid w:val="39E63892"/>
    <w:rsid w:val="3BC675F7"/>
    <w:rsid w:val="3DA940B6"/>
    <w:rsid w:val="3E4DD812"/>
    <w:rsid w:val="3EFA7E1F"/>
    <w:rsid w:val="40042F0B"/>
    <w:rsid w:val="4A925A0F"/>
    <w:rsid w:val="4AAF7E16"/>
    <w:rsid w:val="4B215E49"/>
    <w:rsid w:val="4B8C671B"/>
    <w:rsid w:val="50081462"/>
    <w:rsid w:val="53EF1634"/>
    <w:rsid w:val="55AB5B4D"/>
    <w:rsid w:val="59631F19"/>
    <w:rsid w:val="5CFF4062"/>
    <w:rsid w:val="5EEE2F72"/>
    <w:rsid w:val="5EF7E562"/>
    <w:rsid w:val="646E1D30"/>
    <w:rsid w:val="64EB38AE"/>
    <w:rsid w:val="663B20F9"/>
    <w:rsid w:val="6BBB14D6"/>
    <w:rsid w:val="6F70DB9F"/>
    <w:rsid w:val="7201573F"/>
    <w:rsid w:val="74E7EB8E"/>
    <w:rsid w:val="769F5942"/>
    <w:rsid w:val="774FCF05"/>
    <w:rsid w:val="795FA73B"/>
    <w:rsid w:val="79F109C6"/>
    <w:rsid w:val="7AF97331"/>
    <w:rsid w:val="7D052045"/>
    <w:rsid w:val="7DFA733F"/>
    <w:rsid w:val="7FFF3BD9"/>
    <w:rsid w:val="8FD3D56C"/>
    <w:rsid w:val="97BF9F29"/>
    <w:rsid w:val="FB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2024-01-07T10:30:00Z</dcterms:created>
  <dc:creator>许琳</dc:creator>
  <cp:lastModifiedBy>许琳</cp:lastModifiedBy>
  <cp:lastPrinted>2024-02-05T09:02:00Z</cp:lastPrinted>
  <dcterms:modified xsi:type="dcterms:W3CDTF">2024-05-21T09:24:25Z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31DB3B9EEF6643BFA7B0AC68AE9781E2_13</vt:lpwstr>
  </property>
</Properties>
</file>