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60" w:lineRule="exact"/>
        <w:jc w:val="center"/>
        <w:outlineLvl w:val="0"/>
        <w:rPr>
          <w:rFonts w:ascii="方正小标宋简体" w:hAnsi="方正小标宋简体" w:eastAsia="方正小标宋简体" w:cs="方正小标宋简体"/>
          <w:kern w:val="44"/>
          <w:sz w:val="44"/>
          <w:szCs w:val="52"/>
        </w:rPr>
      </w:pPr>
      <w:r>
        <w:rPr>
          <w:rFonts w:hint="eastAsia" w:ascii="方正小标宋简体" w:hAnsi="方正小标宋简体" w:eastAsia="方正小标宋简体" w:cs="方正小标宋简体"/>
          <w:kern w:val="44"/>
          <w:sz w:val="44"/>
          <w:szCs w:val="52"/>
        </w:rPr>
        <w:t>山东省“技能兴鲁”职业技能大赛—2023年山东省交通运输行业职业技能竞赛</w:t>
      </w:r>
      <w:r>
        <w:rPr>
          <w:rFonts w:hint="eastAsia" w:ascii="方正小标宋简体" w:hAnsi="方正小标宋简体" w:eastAsia="方正小标宋简体" w:cs="方正小标宋简体"/>
          <w:kern w:val="44"/>
          <w:sz w:val="44"/>
          <w:szCs w:val="52"/>
          <w:lang w:eastAsia="zh-CN"/>
        </w:rPr>
        <w:t>挖掘机司机</w:t>
      </w:r>
      <w:r>
        <w:rPr>
          <w:rFonts w:hint="eastAsia" w:ascii="方正小标宋简体" w:hAnsi="方正小标宋简体" w:eastAsia="方正小标宋简体" w:cs="方正小标宋简体"/>
          <w:kern w:val="44"/>
          <w:sz w:val="44"/>
          <w:szCs w:val="52"/>
        </w:rPr>
        <w:t>项目竞赛方案</w:t>
      </w:r>
    </w:p>
    <w:p>
      <w:pPr>
        <w:spacing w:line="560" w:lineRule="exact"/>
        <w:ind w:firstLine="560" w:firstLineChars="200"/>
        <w:rPr>
          <w:rFonts w:ascii="黑体" w:hAnsi="黑体" w:eastAsia="黑体" w:cs="Times New Roman"/>
          <w:bCs/>
          <w:sz w:val="28"/>
          <w:szCs w:val="28"/>
        </w:rPr>
      </w:pP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ascii="仿宋_GB2312" w:hAnsi="宋体" w:eastAsia="仿宋_GB2312" w:cs="宋体"/>
          <w:snapToGrid w:val="0"/>
          <w:sz w:val="32"/>
          <w:szCs w:val="32"/>
        </w:rPr>
      </w:pPr>
      <w:r>
        <w:rPr>
          <w:rFonts w:hint="eastAsia" w:ascii="仿宋_GB2312" w:hAnsi="宋体" w:eastAsia="仿宋_GB2312" w:cs="宋体"/>
          <w:snapToGrid w:val="0"/>
          <w:sz w:val="32"/>
          <w:szCs w:val="32"/>
        </w:rPr>
        <w:t>为深入学习贯彻习近平新时代中国特色社会主义思想，全面贯彻落实党的二十大和二十届一中、二中全会精神，弘扬工匠精神，培养和选拔交通运输行业高技能人才，服务加快建设交通强国山东示范区，根据《山东省人力资源和社会保障厅关于组织开展 2023 年山东省“技能兴鲁”职业技能大赛的通知》（鲁人社函〔2023〕39 号）要求，决定举办山东省“技能兴鲁”职业技能大赛——</w:t>
      </w:r>
      <w:r>
        <w:rPr>
          <w:rFonts w:hint="eastAsia" w:ascii="仿宋_GB2312" w:hAnsi="宋体" w:cs="宋体"/>
          <w:snapToGrid w:val="0"/>
          <w:sz w:val="32"/>
          <w:szCs w:val="32"/>
          <w:lang w:eastAsia="zh-CN"/>
        </w:rPr>
        <w:t>挖掘机司机</w:t>
      </w:r>
      <w:r>
        <w:rPr>
          <w:rFonts w:hint="eastAsia" w:ascii="仿宋_GB2312" w:hAnsi="宋体" w:eastAsia="仿宋_GB2312" w:cs="宋体"/>
          <w:snapToGrid w:val="0"/>
          <w:sz w:val="32"/>
          <w:szCs w:val="32"/>
        </w:rPr>
        <w:t>职业技能竞赛。</w:t>
      </w: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ascii="仿宋_GB2312" w:hAnsi="宋体" w:eastAsia="仿宋_GB2312" w:cs="宋体"/>
          <w:snapToGrid w:val="0"/>
          <w:sz w:val="32"/>
          <w:szCs w:val="32"/>
        </w:rPr>
      </w:pPr>
      <w:r>
        <w:rPr>
          <w:rFonts w:hint="eastAsia" w:ascii="仿宋_GB2312" w:hAnsi="宋体" w:eastAsia="仿宋_GB2312" w:cs="宋体"/>
          <w:snapToGrid w:val="0"/>
          <w:sz w:val="32"/>
          <w:szCs w:val="32"/>
        </w:rPr>
        <w:t>为保证大赛公开公平公正，维护参赛单位、参赛选手的合法权益，根据大赛有关规定，特制定本方案。</w:t>
      </w:r>
    </w:p>
    <w:p>
      <w:pPr>
        <w:keepNext w:val="0"/>
        <w:keepLines w:val="0"/>
        <w:pageBreakBefore w:val="0"/>
        <w:widowControl w:val="0"/>
        <w:numPr>
          <w:ilvl w:val="0"/>
          <w:numId w:val="1"/>
        </w:numPr>
        <w:tabs>
          <w:tab w:val="left" w:pos="3878"/>
        </w:tabs>
        <w:kinsoku/>
        <w:wordWrap/>
        <w:overflowPunct/>
        <w:topLinePunct w:val="0"/>
        <w:autoSpaceDE/>
        <w:autoSpaceDN/>
        <w:bidi w:val="0"/>
        <w:adjustRightInd w:val="0"/>
        <w:snapToGrid w:val="0"/>
        <w:spacing w:line="560" w:lineRule="exact"/>
        <w:ind w:firstLine="0" w:firstLineChars="0"/>
        <w:jc w:val="left"/>
        <w:textAlignment w:val="auto"/>
        <w:rPr>
          <w:rFonts w:ascii="黑体" w:hAnsi="黑体" w:eastAsia="黑体" w:cs="黑体"/>
          <w:snapToGrid w:val="0"/>
          <w:sz w:val="32"/>
          <w:szCs w:val="32"/>
        </w:rPr>
      </w:pPr>
      <w:r>
        <w:rPr>
          <w:rFonts w:hint="eastAsia" w:ascii="黑体" w:hAnsi="黑体" w:eastAsia="黑体" w:cs="黑体"/>
          <w:snapToGrid w:val="0"/>
          <w:sz w:val="32"/>
          <w:szCs w:val="32"/>
        </w:rPr>
        <w:t>竞赛项目（工种）</w:t>
      </w:r>
    </w:p>
    <w:p>
      <w:pPr>
        <w:keepNext w:val="0"/>
        <w:keepLines w:val="0"/>
        <w:pageBreakBefore w:val="0"/>
        <w:widowControl w:val="0"/>
        <w:tabs>
          <w:tab w:val="left" w:pos="3878"/>
        </w:tabs>
        <w:kinsoku/>
        <w:wordWrap/>
        <w:overflowPunct/>
        <w:topLinePunct w:val="0"/>
        <w:autoSpaceDE/>
        <w:autoSpaceDN/>
        <w:bidi w:val="0"/>
        <w:adjustRightInd w:val="0"/>
        <w:snapToGrid w:val="0"/>
        <w:spacing w:line="560" w:lineRule="exact"/>
        <w:ind w:left="640" w:firstLine="0" w:firstLineChars="0"/>
        <w:jc w:val="both"/>
        <w:textAlignment w:val="auto"/>
        <w:rPr>
          <w:rFonts w:ascii="仿宋_GB2312" w:hAnsi="宋体" w:eastAsia="仿宋_GB2312" w:cs="宋体"/>
          <w:snapToGrid w:val="0"/>
          <w:sz w:val="32"/>
          <w:szCs w:val="32"/>
        </w:rPr>
      </w:pPr>
      <w:r>
        <w:rPr>
          <w:rFonts w:hint="eastAsia" w:ascii="仿宋_GB2312" w:hAnsi="宋体" w:cs="宋体"/>
          <w:snapToGrid w:val="0"/>
          <w:sz w:val="32"/>
          <w:szCs w:val="32"/>
          <w:lang w:eastAsia="zh-CN"/>
        </w:rPr>
        <w:t>挖掘机司机</w:t>
      </w:r>
      <w:r>
        <w:rPr>
          <w:rFonts w:ascii="仿宋_GB2312" w:hAnsi="宋体" w:eastAsia="仿宋_GB2312" w:cs="宋体"/>
          <w:snapToGrid w:val="0"/>
          <w:sz w:val="32"/>
          <w:szCs w:val="32"/>
        </w:rPr>
        <w:t>项目</w:t>
      </w:r>
    </w:p>
    <w:p>
      <w:pPr>
        <w:keepNext w:val="0"/>
        <w:keepLines w:val="0"/>
        <w:pageBreakBefore w:val="0"/>
        <w:widowControl w:val="0"/>
        <w:numPr>
          <w:ilvl w:val="0"/>
          <w:numId w:val="1"/>
        </w:numPr>
        <w:tabs>
          <w:tab w:val="left" w:pos="3878"/>
        </w:tabs>
        <w:kinsoku/>
        <w:wordWrap/>
        <w:overflowPunct/>
        <w:topLinePunct w:val="0"/>
        <w:autoSpaceDE/>
        <w:autoSpaceDN/>
        <w:bidi w:val="0"/>
        <w:adjustRightInd w:val="0"/>
        <w:snapToGrid w:val="0"/>
        <w:spacing w:line="560" w:lineRule="exact"/>
        <w:ind w:firstLine="0" w:firstLineChars="0"/>
        <w:jc w:val="both"/>
        <w:textAlignment w:val="auto"/>
        <w:rPr>
          <w:rFonts w:ascii="黑体" w:hAnsi="黑体" w:eastAsia="黑体" w:cs="黑体"/>
          <w:snapToGrid w:val="0"/>
          <w:sz w:val="32"/>
          <w:szCs w:val="32"/>
        </w:rPr>
      </w:pPr>
      <w:r>
        <w:rPr>
          <w:rFonts w:hint="eastAsia" w:ascii="黑体" w:hAnsi="黑体" w:eastAsia="黑体" w:cs="黑体"/>
          <w:snapToGrid w:val="0"/>
          <w:sz w:val="32"/>
          <w:szCs w:val="32"/>
        </w:rPr>
        <w:t>选手条件</w:t>
      </w:r>
    </w:p>
    <w:p>
      <w:pPr>
        <w:keepNext w:val="0"/>
        <w:keepLines w:val="0"/>
        <w:pageBreakBefore w:val="0"/>
        <w:widowControl w:val="0"/>
        <w:tabs>
          <w:tab w:val="left" w:pos="3878"/>
        </w:tabs>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宋体" w:eastAsia="仿宋_GB2312" w:cs="宋体"/>
          <w:snapToGrid w:val="0"/>
          <w:sz w:val="32"/>
          <w:szCs w:val="32"/>
          <w:highlight w:val="none"/>
        </w:rPr>
      </w:pPr>
      <w:r>
        <w:rPr>
          <w:rFonts w:hint="eastAsia" w:ascii="仿宋_GB2312" w:hAnsi="宋体" w:eastAsia="仿宋_GB2312" w:cs="宋体"/>
          <w:snapToGrid w:val="0"/>
          <w:sz w:val="32"/>
          <w:szCs w:val="32"/>
          <w:highlight w:val="none"/>
        </w:rPr>
        <w:t>思想政治素质好，职业道德修养高，</w:t>
      </w:r>
      <w:r>
        <w:rPr>
          <w:rFonts w:hint="eastAsia" w:ascii="仿宋_GB2312" w:hAnsi="黑体" w:eastAsia="仿宋_GB2312" w:cs="Times New Roman"/>
          <w:bCs/>
          <w:sz w:val="32"/>
          <w:szCs w:val="32"/>
          <w:highlight w:val="none"/>
        </w:rPr>
        <w:t>参赛选手应为各参赛单位从事</w:t>
      </w:r>
      <w:r>
        <w:rPr>
          <w:rFonts w:hint="eastAsia" w:ascii="仿宋_GB2312" w:hAnsi="黑体" w:eastAsia="仿宋_GB2312" w:cs="Times New Roman"/>
          <w:bCs/>
          <w:sz w:val="32"/>
          <w:szCs w:val="32"/>
          <w:highlight w:val="none"/>
          <w:lang w:eastAsia="zh-CN"/>
        </w:rPr>
        <w:t>相应港口</w:t>
      </w:r>
      <w:r>
        <w:rPr>
          <w:rFonts w:hint="eastAsia" w:ascii="仿宋_GB2312" w:hAnsi="黑体" w:cs="Times New Roman"/>
          <w:bCs/>
          <w:sz w:val="32"/>
          <w:szCs w:val="32"/>
          <w:highlight w:val="none"/>
          <w:lang w:eastAsia="zh-CN"/>
        </w:rPr>
        <w:t>挖掘</w:t>
      </w:r>
      <w:r>
        <w:rPr>
          <w:rFonts w:hint="eastAsia" w:ascii="仿宋_GB2312" w:hAnsi="宋体" w:eastAsia="仿宋_GB2312" w:cs="宋体"/>
          <w:snapToGrid w:val="0"/>
          <w:sz w:val="32"/>
          <w:szCs w:val="32"/>
          <w:highlight w:val="none"/>
          <w:lang w:eastAsia="zh-CN"/>
        </w:rPr>
        <w:t>机操作的</w:t>
      </w:r>
      <w:r>
        <w:rPr>
          <w:rFonts w:hint="eastAsia" w:ascii="仿宋_GB2312" w:hAnsi="宋体" w:eastAsia="仿宋_GB2312" w:cs="宋体"/>
          <w:snapToGrid w:val="0"/>
          <w:sz w:val="32"/>
          <w:szCs w:val="32"/>
          <w:highlight w:val="none"/>
        </w:rPr>
        <w:t>职工，并具备挖掘机操作证</w:t>
      </w:r>
      <w:r>
        <w:rPr>
          <w:rFonts w:hint="eastAsia" w:ascii="仿宋_GB2312" w:hAnsi="宋体" w:eastAsia="仿宋_GB2312" w:cs="宋体"/>
          <w:snapToGrid w:val="0"/>
          <w:sz w:val="32"/>
          <w:szCs w:val="32"/>
          <w:highlight w:val="none"/>
          <w:lang w:eastAsia="zh-CN"/>
        </w:rPr>
        <w:t>，</w:t>
      </w:r>
      <w:r>
        <w:rPr>
          <w:rFonts w:hint="eastAsia" w:ascii="仿宋_GB2312" w:hAnsi="宋体" w:eastAsia="仿宋_GB2312" w:cs="宋体"/>
          <w:snapToGrid w:val="0"/>
          <w:sz w:val="32"/>
          <w:szCs w:val="32"/>
          <w:highlight w:val="none"/>
        </w:rPr>
        <w:t>选手年龄不超过法定退休年龄。</w:t>
      </w:r>
    </w:p>
    <w:p>
      <w:pPr>
        <w:keepNext w:val="0"/>
        <w:keepLines w:val="0"/>
        <w:pageBreakBefore w:val="0"/>
        <w:widowControl w:val="0"/>
        <w:tabs>
          <w:tab w:val="left" w:pos="3878"/>
        </w:tabs>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宋体" w:eastAsia="仿宋_GB2312" w:cs="宋体"/>
          <w:snapToGrid w:val="0"/>
          <w:sz w:val="32"/>
          <w:szCs w:val="32"/>
          <w:highlight w:val="none"/>
        </w:rPr>
      </w:pPr>
      <w:bookmarkStart w:id="4" w:name="_GoBack"/>
      <w:bookmarkEnd w:id="4"/>
      <w:r>
        <w:rPr>
          <w:rFonts w:hint="eastAsia" w:ascii="仿宋_GB2312" w:hAnsi="宋体" w:eastAsia="仿宋_GB2312" w:cs="宋体"/>
          <w:snapToGrid w:val="0"/>
          <w:sz w:val="32"/>
          <w:szCs w:val="32"/>
          <w:highlight w:val="none"/>
        </w:rPr>
        <w:t>已获得“中华技能大奖”“全国五一劳动奖章” “全国技术能手”“全国交通技术能手”“山东省五一劳动奖章”“山东省技术能手”等称号人员不能作为选手参赛。</w:t>
      </w:r>
    </w:p>
    <w:p>
      <w:pPr>
        <w:keepNext w:val="0"/>
        <w:keepLines w:val="0"/>
        <w:pageBreakBefore w:val="0"/>
        <w:widowControl w:val="0"/>
        <w:numPr>
          <w:ilvl w:val="0"/>
          <w:numId w:val="1"/>
        </w:numPr>
        <w:tabs>
          <w:tab w:val="left" w:pos="3878"/>
        </w:tabs>
        <w:kinsoku/>
        <w:wordWrap/>
        <w:overflowPunct/>
        <w:topLinePunct w:val="0"/>
        <w:autoSpaceDE/>
        <w:autoSpaceDN/>
        <w:bidi w:val="0"/>
        <w:adjustRightInd w:val="0"/>
        <w:snapToGrid w:val="0"/>
        <w:spacing w:line="560" w:lineRule="exact"/>
        <w:ind w:firstLine="0" w:firstLineChars="0"/>
        <w:jc w:val="left"/>
        <w:textAlignment w:val="auto"/>
        <w:rPr>
          <w:rFonts w:ascii="黑体" w:hAnsi="黑体" w:eastAsia="黑体" w:cs="黑体"/>
          <w:snapToGrid w:val="0"/>
          <w:sz w:val="32"/>
          <w:szCs w:val="32"/>
        </w:rPr>
      </w:pPr>
      <w:r>
        <w:rPr>
          <w:rFonts w:hint="eastAsia" w:ascii="黑体" w:hAnsi="黑体" w:eastAsia="黑体" w:cs="黑体"/>
          <w:snapToGrid w:val="0"/>
          <w:sz w:val="32"/>
          <w:szCs w:val="32"/>
        </w:rPr>
        <w:t>参赛方式</w:t>
      </w:r>
    </w:p>
    <w:p>
      <w:pPr>
        <w:keepNext w:val="0"/>
        <w:keepLines w:val="0"/>
        <w:pageBreakBefore w:val="0"/>
        <w:widowControl w:val="0"/>
        <w:tabs>
          <w:tab w:val="left" w:pos="3878"/>
        </w:tabs>
        <w:kinsoku/>
        <w:wordWrap/>
        <w:overflowPunct/>
        <w:topLinePunct w:val="0"/>
        <w:autoSpaceDE/>
        <w:autoSpaceDN/>
        <w:bidi w:val="0"/>
        <w:adjustRightInd w:val="0"/>
        <w:snapToGrid w:val="0"/>
        <w:spacing w:line="560" w:lineRule="exact"/>
        <w:ind w:firstLine="640" w:firstLineChars="200"/>
        <w:jc w:val="left"/>
        <w:textAlignment w:val="auto"/>
        <w:rPr>
          <w:rFonts w:hint="default" w:ascii="仿宋_GB2312" w:hAnsi="宋体" w:eastAsia="仿宋_GB2312" w:cs="宋体"/>
          <w:snapToGrid w:val="0"/>
          <w:sz w:val="32"/>
          <w:szCs w:val="32"/>
          <w:lang w:val="en-US" w:eastAsia="zh-CN"/>
        </w:rPr>
      </w:pPr>
      <w:r>
        <w:rPr>
          <w:rFonts w:hint="eastAsia" w:ascii="仿宋_GB2312" w:hAnsi="黑体" w:eastAsia="仿宋_GB2312" w:cs="Times New Roman"/>
          <w:bCs/>
          <w:sz w:val="32"/>
          <w:szCs w:val="32"/>
        </w:rPr>
        <w:t>原则上以省内港口</w:t>
      </w:r>
      <w:r>
        <w:rPr>
          <w:rFonts w:hint="eastAsia" w:ascii="仿宋_GB2312" w:hAnsi="宋体" w:eastAsia="仿宋_GB2312" w:cs="宋体"/>
          <w:snapToGrid w:val="0"/>
          <w:sz w:val="32"/>
          <w:szCs w:val="32"/>
        </w:rPr>
        <w:t>企业为单位参赛，每个港口选派1支队伍，每支队伍不超过6名选手，不得跨企业组队。</w:t>
      </w:r>
      <w:r>
        <w:rPr>
          <w:rFonts w:hint="eastAsia" w:ascii="仿宋_GB2312" w:hAnsi="宋体" w:eastAsia="仿宋_GB2312" w:cs="宋体"/>
          <w:snapToGrid w:val="0"/>
          <w:sz w:val="32"/>
          <w:szCs w:val="32"/>
          <w:lang w:eastAsia="zh-CN"/>
        </w:rPr>
        <w:t>每个参赛队伍可派领队</w:t>
      </w:r>
      <w:r>
        <w:rPr>
          <w:rFonts w:hint="eastAsia" w:ascii="仿宋_GB2312" w:hAnsi="宋体" w:eastAsia="仿宋_GB2312" w:cs="宋体"/>
          <w:snapToGrid w:val="0"/>
          <w:sz w:val="32"/>
          <w:szCs w:val="32"/>
          <w:lang w:val="en-US" w:eastAsia="zh-CN"/>
        </w:rPr>
        <w:t>1人。</w:t>
      </w:r>
    </w:p>
    <w:p>
      <w:pPr>
        <w:keepNext w:val="0"/>
        <w:keepLines w:val="0"/>
        <w:pageBreakBefore w:val="0"/>
        <w:widowControl w:val="0"/>
        <w:numPr>
          <w:ilvl w:val="0"/>
          <w:numId w:val="1"/>
        </w:numPr>
        <w:tabs>
          <w:tab w:val="left" w:pos="3878"/>
        </w:tabs>
        <w:kinsoku/>
        <w:wordWrap/>
        <w:overflowPunct/>
        <w:topLinePunct w:val="0"/>
        <w:autoSpaceDE/>
        <w:autoSpaceDN/>
        <w:bidi w:val="0"/>
        <w:adjustRightInd w:val="0"/>
        <w:snapToGrid w:val="0"/>
        <w:spacing w:line="560" w:lineRule="exact"/>
        <w:ind w:firstLine="0" w:firstLineChars="0"/>
        <w:jc w:val="left"/>
        <w:textAlignment w:val="auto"/>
        <w:rPr>
          <w:rFonts w:ascii="黑体" w:hAnsi="黑体" w:eastAsia="黑体" w:cs="黑体"/>
          <w:snapToGrid w:val="0"/>
          <w:sz w:val="32"/>
          <w:szCs w:val="32"/>
        </w:rPr>
      </w:pPr>
      <w:r>
        <w:rPr>
          <w:rFonts w:hint="eastAsia" w:ascii="黑体" w:hAnsi="黑体" w:eastAsia="黑体" w:cs="黑体"/>
          <w:snapToGrid w:val="0"/>
          <w:sz w:val="32"/>
          <w:szCs w:val="32"/>
        </w:rPr>
        <w:t>竞赛成绩及排名</w:t>
      </w:r>
    </w:p>
    <w:p>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宋体" w:eastAsia="仿宋_GB2312" w:cs="宋体"/>
          <w:snapToGrid w:val="0"/>
          <w:sz w:val="32"/>
          <w:szCs w:val="32"/>
          <w:lang w:val="en-US" w:bidi="ar-SA"/>
        </w:rPr>
      </w:pPr>
      <w:r>
        <w:rPr>
          <w:rFonts w:hint="eastAsia" w:ascii="仿宋_GB2312" w:hAnsi="宋体" w:eastAsia="仿宋_GB2312" w:cs="宋体"/>
          <w:snapToGrid w:val="0"/>
          <w:sz w:val="32"/>
          <w:szCs w:val="32"/>
          <w:lang w:val="en-US" w:bidi="ar-SA"/>
        </w:rPr>
        <w:t>个人总成绩由理论知识和技能操作两部分成绩组成，总分100分，其中理论知识成绩占30%，技能操作成绩占70%，所有成绩均按比例四舍五入计算到小数点后2位。</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宋体" w:eastAsia="仿宋_GB2312" w:cs="宋体"/>
          <w:snapToGrid w:val="0"/>
          <w:sz w:val="32"/>
          <w:szCs w:val="32"/>
        </w:rPr>
      </w:pPr>
      <w:r>
        <w:rPr>
          <w:rFonts w:hint="eastAsia" w:ascii="仿宋_GB2312" w:hAnsi="宋体" w:eastAsia="仿宋_GB2312" w:cs="宋体"/>
          <w:snapToGrid w:val="0"/>
          <w:sz w:val="32"/>
          <w:szCs w:val="32"/>
        </w:rPr>
        <w:t>按总成绩由高到低排序，确定所有参赛选手最终名次。如总成绩相同，则以技能操作成绩高者名次在前；如总成绩和技能操作成绩均相同，则以技能操作项目用时短者名次在前。</w:t>
      </w: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ascii="黑体" w:hAnsi="黑体" w:eastAsia="黑体" w:cs="Times New Roman"/>
          <w:bCs/>
          <w:sz w:val="32"/>
          <w:szCs w:val="32"/>
        </w:rPr>
      </w:pPr>
      <w:r>
        <w:rPr>
          <w:rFonts w:hint="eastAsia" w:ascii="黑体" w:hAnsi="黑体" w:eastAsia="黑体" w:cs="Times New Roman"/>
          <w:bCs/>
          <w:sz w:val="32"/>
          <w:szCs w:val="32"/>
        </w:rPr>
        <w:t>五、竞赛内容</w:t>
      </w: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ascii="仿宋_GB2312" w:hAnsi="黑体" w:eastAsia="仿宋_GB2312" w:cs="Times New Roman"/>
          <w:b/>
          <w:sz w:val="32"/>
          <w:szCs w:val="32"/>
        </w:rPr>
      </w:pPr>
      <w:r>
        <w:rPr>
          <w:rFonts w:hint="eastAsia" w:ascii="仿宋_GB2312" w:hAnsi="宋体" w:eastAsia="仿宋_GB2312" w:cs="宋体"/>
          <w:snapToGrid w:val="0"/>
          <w:sz w:val="32"/>
          <w:szCs w:val="32"/>
        </w:rPr>
        <w:t>（一）</w:t>
      </w:r>
      <w:r>
        <w:rPr>
          <w:rFonts w:hint="eastAsia" w:ascii="仿宋_GB2312" w:hAnsi="黑体" w:eastAsia="仿宋_GB2312" w:cs="Times New Roman"/>
          <w:b/>
          <w:sz w:val="32"/>
          <w:szCs w:val="32"/>
        </w:rPr>
        <w:t>竞赛内容和分值设置</w:t>
      </w: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ascii="仿宋_GB2312" w:hAnsi="黑体" w:eastAsia="仿宋_GB2312" w:cs="Times New Roman"/>
          <w:bCs/>
          <w:sz w:val="32"/>
          <w:szCs w:val="32"/>
        </w:rPr>
      </w:pPr>
      <w:r>
        <w:rPr>
          <w:rFonts w:hint="eastAsia" w:ascii="仿宋_GB2312" w:hAnsi="黑体" w:eastAsia="仿宋_GB2312" w:cs="Times New Roman"/>
          <w:bCs/>
          <w:sz w:val="32"/>
          <w:szCs w:val="32"/>
        </w:rPr>
        <w:t>项目总分100分，设理论知识考试和实际操作考核两部分，分别占30%、70%。其中，理论考试单选题55题（每题1分），多选题20题（每题1.5分），判断题30题（每题0.5分），考试时间30分钟，理论考试使用知鸟线上平台进行，参赛选手使用统一的电子设备参加考试。</w:t>
      </w: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ascii="仿宋_GB2312" w:hAnsi="黑体" w:eastAsia="仿宋_GB2312" w:cs="Times New Roman"/>
          <w:b/>
          <w:sz w:val="32"/>
          <w:szCs w:val="32"/>
        </w:rPr>
      </w:pPr>
      <w:r>
        <w:rPr>
          <w:rFonts w:hint="eastAsia" w:ascii="仿宋_GB2312" w:hAnsi="宋体" w:eastAsia="仿宋_GB2312" w:cs="宋体"/>
          <w:snapToGrid w:val="0"/>
          <w:sz w:val="32"/>
          <w:szCs w:val="32"/>
        </w:rPr>
        <w:t>（二）</w:t>
      </w:r>
      <w:r>
        <w:rPr>
          <w:rFonts w:hint="eastAsia" w:ascii="仿宋_GB2312" w:hAnsi="黑体" w:eastAsia="仿宋_GB2312" w:cs="Times New Roman"/>
          <w:b/>
          <w:sz w:val="32"/>
          <w:szCs w:val="32"/>
        </w:rPr>
        <w:t>裁判安排</w:t>
      </w:r>
    </w:p>
    <w:p>
      <w:pPr>
        <w:pStyle w:val="15"/>
        <w:keepNext w:val="0"/>
        <w:keepLines w:val="0"/>
        <w:pageBreakBefore w:val="0"/>
        <w:widowControl w:val="0"/>
        <w:kinsoku/>
        <w:wordWrap/>
        <w:overflowPunct/>
        <w:topLinePunct w:val="0"/>
        <w:autoSpaceDE/>
        <w:autoSpaceDN/>
        <w:bidi w:val="0"/>
        <w:spacing w:line="560" w:lineRule="exact"/>
        <w:ind w:firstLine="480"/>
        <w:textAlignment w:val="auto"/>
        <w:rPr>
          <w:rFonts w:hint="eastAsia" w:ascii="仿宋_GB2312" w:hAnsi="黑体" w:eastAsia="仿宋_GB2312" w:cs="Times New Roman"/>
          <w:bCs/>
          <w:snapToGrid w:val="0"/>
          <w:sz w:val="32"/>
          <w:szCs w:val="32"/>
          <w:lang w:val="en-US" w:eastAsia="zh-CN" w:bidi="ar-SA"/>
        </w:rPr>
      </w:pPr>
      <w:r>
        <w:rPr>
          <w:rFonts w:hint="eastAsia" w:ascii="仿宋_GB2312" w:hAnsi="黑体" w:eastAsia="仿宋_GB2312" w:cs="Times New Roman"/>
          <w:bCs/>
          <w:snapToGrid w:val="0"/>
          <w:sz w:val="32"/>
          <w:szCs w:val="32"/>
          <w:lang w:val="en-US" w:eastAsia="zh-CN" w:bidi="ar-SA"/>
        </w:rPr>
        <w:t>本项目设置裁判长1名，裁判员6名，记分员2名。</w:t>
      </w: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ascii="仿宋_GB2312" w:hAnsi="黑体" w:eastAsia="仿宋_GB2312" w:cs="Times New Roman"/>
          <w:bCs/>
          <w:sz w:val="32"/>
          <w:szCs w:val="32"/>
        </w:rPr>
      </w:pPr>
      <w:r>
        <w:rPr>
          <w:rFonts w:hint="eastAsia" w:ascii="仿宋_GB2312" w:hAnsi="黑体" w:eastAsia="仿宋_GB2312" w:cs="Times New Roman"/>
          <w:bCs/>
          <w:snapToGrid w:val="0"/>
          <w:sz w:val="32"/>
          <w:szCs w:val="32"/>
          <w:lang w:val="en-US" w:eastAsia="zh-CN" w:bidi="ar-SA"/>
        </w:rPr>
        <w:t>项目使</w:t>
      </w:r>
      <w:r>
        <w:rPr>
          <w:rFonts w:hint="eastAsia" w:ascii="仿宋_GB2312" w:hAnsi="黑体" w:eastAsia="仿宋_GB2312" w:cs="Times New Roman"/>
          <w:bCs/>
          <w:sz w:val="32"/>
          <w:szCs w:val="32"/>
        </w:rPr>
        <w:t>用电子评判系统，全程录像（固定机位摄像机），竞赛成绩现场及时公布，执裁过程减少人为干预，确保竞赛公平公正公开。试机前组织裁判员培训和设备验收。</w:t>
      </w: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ascii="黑体" w:hAnsi="黑体" w:eastAsia="黑体" w:cs="Times New Roman"/>
          <w:bCs/>
          <w:sz w:val="32"/>
          <w:szCs w:val="32"/>
        </w:rPr>
      </w:pPr>
      <w:r>
        <w:rPr>
          <w:rFonts w:hint="eastAsia" w:ascii="黑体" w:hAnsi="黑体" w:eastAsia="黑体" w:cs="Times New Roman"/>
          <w:bCs/>
          <w:sz w:val="32"/>
          <w:szCs w:val="32"/>
        </w:rPr>
        <w:t>六、其他要求</w:t>
      </w: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ascii="仿宋_GB2312" w:hAnsi="黑体" w:eastAsia="仿宋_GB2312" w:cs="Times New Roman"/>
          <w:bCs/>
          <w:sz w:val="32"/>
          <w:szCs w:val="32"/>
        </w:rPr>
      </w:pPr>
      <w:r>
        <w:rPr>
          <w:rFonts w:hint="eastAsia" w:ascii="仿宋_GB2312" w:hAnsi="黑体" w:eastAsia="仿宋_GB2312" w:cs="Times New Roman"/>
          <w:bCs/>
          <w:sz w:val="32"/>
          <w:szCs w:val="32"/>
        </w:rPr>
        <w:t>1.竞赛组织单位统一安排住宿，各参赛单位队伍需自行承担住宿费。</w:t>
      </w: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ascii="仿宋_GB2312" w:hAnsi="黑体" w:eastAsia="仿宋_GB2312" w:cs="Times New Roman"/>
          <w:bCs/>
          <w:sz w:val="32"/>
          <w:szCs w:val="32"/>
        </w:rPr>
      </w:pPr>
      <w:r>
        <w:rPr>
          <w:rFonts w:hint="eastAsia" w:ascii="仿宋_GB2312" w:hAnsi="黑体" w:eastAsia="仿宋_GB2312" w:cs="Times New Roman"/>
          <w:bCs/>
          <w:sz w:val="32"/>
          <w:szCs w:val="32"/>
        </w:rPr>
        <w:t>2.各参赛单位需严格审核选手资格，随身携带</w:t>
      </w:r>
      <w:r>
        <w:rPr>
          <w:rFonts w:hint="eastAsia" w:ascii="仿宋_GB2312" w:hAnsi="黑体" w:cs="Times New Roman"/>
          <w:bCs/>
          <w:sz w:val="32"/>
          <w:szCs w:val="32"/>
          <w:lang w:eastAsia="zh-CN"/>
        </w:rPr>
        <w:t>挖掘机</w:t>
      </w:r>
      <w:r>
        <w:rPr>
          <w:rFonts w:hint="eastAsia" w:ascii="仿宋_GB2312" w:hAnsi="黑体" w:eastAsia="仿宋_GB2312" w:cs="Times New Roman"/>
          <w:bCs/>
          <w:sz w:val="32"/>
          <w:szCs w:val="32"/>
        </w:rPr>
        <w:t>司机操作证，报</w:t>
      </w:r>
      <w:r>
        <w:rPr>
          <w:rFonts w:hint="eastAsia" w:ascii="仿宋_GB2312" w:hAnsi="黑体" w:cs="Times New Roman"/>
          <w:bCs/>
          <w:sz w:val="32"/>
          <w:szCs w:val="32"/>
          <w:lang w:eastAsia="zh-CN"/>
        </w:rPr>
        <w:t>到</w:t>
      </w:r>
      <w:r>
        <w:rPr>
          <w:rFonts w:hint="eastAsia" w:ascii="仿宋_GB2312" w:hAnsi="黑体" w:eastAsia="仿宋_GB2312" w:cs="Times New Roman"/>
          <w:bCs/>
          <w:sz w:val="32"/>
          <w:szCs w:val="32"/>
        </w:rPr>
        <w:t>时审核。</w:t>
      </w: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ascii="仿宋_GB2312" w:hAnsi="黑体" w:eastAsia="仿宋_GB2312" w:cs="Times New Roman"/>
          <w:bCs/>
          <w:sz w:val="32"/>
          <w:szCs w:val="32"/>
        </w:rPr>
      </w:pPr>
      <w:r>
        <w:rPr>
          <w:rFonts w:hint="eastAsia" w:ascii="仿宋_GB2312" w:hAnsi="黑体" w:eastAsia="仿宋_GB2312" w:cs="Times New Roman"/>
          <w:bCs/>
          <w:sz w:val="32"/>
          <w:szCs w:val="32"/>
        </w:rPr>
        <w:t>3.参赛选手自备并穿戴岗位工作服装、工作鞋、安全帽等参赛。</w:t>
      </w: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hint="eastAsia" w:ascii="仿宋_GB2312" w:hAnsi="黑体" w:eastAsia="仿宋_GB2312" w:cs="Times New Roman"/>
          <w:bCs/>
          <w:sz w:val="32"/>
          <w:szCs w:val="32"/>
          <w:lang w:val="zh-CN"/>
        </w:rPr>
      </w:pPr>
      <w:r>
        <w:rPr>
          <w:rFonts w:hint="eastAsia" w:ascii="仿宋_GB2312" w:hAnsi="黑体" w:eastAsia="仿宋_GB2312" w:cs="Times New Roman"/>
          <w:bCs/>
          <w:sz w:val="32"/>
          <w:szCs w:val="32"/>
        </w:rPr>
        <w:t>4.</w:t>
      </w:r>
      <w:r>
        <w:rPr>
          <w:rFonts w:hint="eastAsia" w:ascii="仿宋_GB2312" w:hAnsi="黑体" w:eastAsia="仿宋_GB2312" w:cs="Times New Roman"/>
          <w:bCs/>
          <w:sz w:val="32"/>
          <w:szCs w:val="32"/>
          <w:lang w:val="zh-CN"/>
        </w:rPr>
        <w:t>202</w:t>
      </w:r>
      <w:r>
        <w:rPr>
          <w:rFonts w:hint="eastAsia" w:ascii="仿宋_GB2312" w:hAnsi="黑体" w:eastAsia="仿宋_GB2312" w:cs="Times New Roman"/>
          <w:bCs/>
          <w:sz w:val="32"/>
          <w:szCs w:val="32"/>
        </w:rPr>
        <w:t>3</w:t>
      </w:r>
      <w:r>
        <w:rPr>
          <w:rFonts w:hint="eastAsia" w:ascii="仿宋_GB2312" w:hAnsi="黑体" w:eastAsia="仿宋_GB2312" w:cs="Times New Roman"/>
          <w:bCs/>
          <w:sz w:val="32"/>
          <w:szCs w:val="32"/>
          <w:lang w:val="zh-CN"/>
        </w:rPr>
        <w:t>年山东省交通运输行业职业技能竞赛组委会办公室兼仲裁委员会设在山东省交通运输事业服务中心。联系人：</w:t>
      </w:r>
      <w:r>
        <w:rPr>
          <w:rFonts w:hint="eastAsia" w:ascii="仿宋_GB2312" w:hAnsi="黑体" w:eastAsia="仿宋_GB2312" w:cs="Times New Roman"/>
          <w:bCs/>
          <w:sz w:val="32"/>
          <w:szCs w:val="32"/>
        </w:rPr>
        <w:t>邵辉</w:t>
      </w:r>
      <w:r>
        <w:rPr>
          <w:rFonts w:hint="eastAsia" w:ascii="仿宋_GB2312" w:hAnsi="黑体" w:eastAsia="仿宋_GB2312" w:cs="Times New Roman"/>
          <w:bCs/>
          <w:sz w:val="32"/>
          <w:szCs w:val="32"/>
          <w:lang w:val="zh-CN"/>
        </w:rPr>
        <w:t>，电话:</w:t>
      </w:r>
      <w:r>
        <w:rPr>
          <w:rFonts w:hint="eastAsia" w:ascii="仿宋_GB2312" w:hAnsi="黑体" w:eastAsia="仿宋_GB2312" w:cs="Times New Roman"/>
          <w:bCs/>
          <w:sz w:val="32"/>
          <w:szCs w:val="32"/>
        </w:rPr>
        <w:t xml:space="preserve"> </w:t>
      </w:r>
      <w:r>
        <w:rPr>
          <w:rFonts w:hint="eastAsia" w:ascii="仿宋_GB2312" w:hAnsi="黑体" w:eastAsia="仿宋_GB2312" w:cs="Times New Roman"/>
          <w:bCs/>
          <w:sz w:val="32"/>
          <w:szCs w:val="32"/>
          <w:lang w:val="zh-CN"/>
        </w:rPr>
        <w:t>0531-51762783。</w:t>
      </w: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hint="eastAsia" w:ascii="仿宋_GB2312" w:hAnsi="黑体" w:eastAsia="仿宋_GB2312" w:cs="Times New Roman"/>
          <w:bCs/>
          <w:sz w:val="32"/>
          <w:szCs w:val="32"/>
          <w:lang w:val="zh-CN"/>
        </w:rPr>
      </w:pPr>
      <w:r>
        <w:rPr>
          <w:rFonts w:hint="eastAsia" w:ascii="仿宋_GB2312" w:hAnsi="黑体" w:eastAsia="仿宋_GB2312" w:cs="Times New Roman"/>
          <w:bCs/>
          <w:sz w:val="32"/>
          <w:szCs w:val="32"/>
        </w:rPr>
        <w:t>5.</w:t>
      </w:r>
      <w:r>
        <w:rPr>
          <w:rFonts w:hint="eastAsia" w:ascii="仿宋_GB2312" w:hAnsi="黑体" w:eastAsia="仿宋_GB2312" w:cs="Times New Roman"/>
          <w:bCs/>
          <w:sz w:val="32"/>
          <w:szCs w:val="32"/>
          <w:lang w:val="zh-CN"/>
        </w:rPr>
        <w:t>本赛项技术方案由山东省港口集团有限公司组织有关专家编制完成，实施过程中如有技术问题，请与专家组联系。联系人：王勇，电话：18953330369。</w:t>
      </w:r>
    </w:p>
    <w:p>
      <w:pPr>
        <w:pStyle w:val="4"/>
        <w:keepNext w:val="0"/>
        <w:keepLines w:val="0"/>
        <w:pageBreakBefore w:val="0"/>
        <w:widowControl w:val="0"/>
        <w:kinsoku/>
        <w:wordWrap/>
        <w:overflowPunct/>
        <w:topLinePunct w:val="0"/>
        <w:autoSpaceDE/>
        <w:autoSpaceDN/>
        <w:bidi w:val="0"/>
        <w:spacing w:line="560" w:lineRule="exact"/>
        <w:textAlignment w:val="auto"/>
      </w:pP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hint="eastAsia" w:ascii="仿宋_GB2312" w:hAnsi="黑体" w:eastAsia="仿宋_GB2312" w:cs="Times New Roman"/>
          <w:bCs/>
          <w:sz w:val="32"/>
          <w:szCs w:val="32"/>
        </w:rPr>
      </w:pPr>
      <w:r>
        <w:rPr>
          <w:rFonts w:hint="eastAsia" w:ascii="仿宋_GB2312" w:hAnsi="黑体" w:eastAsia="仿宋_GB2312" w:cs="Times New Roman"/>
          <w:bCs/>
          <w:sz w:val="32"/>
          <w:szCs w:val="32"/>
        </w:rPr>
        <w:t>竞赛联系人：</w:t>
      </w: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ascii="仿宋_GB2312" w:hAnsi="黑体" w:eastAsia="仿宋_GB2312" w:cs="Times New Roman"/>
          <w:bCs/>
          <w:sz w:val="32"/>
          <w:szCs w:val="32"/>
        </w:rPr>
      </w:pPr>
      <w:r>
        <w:rPr>
          <w:rFonts w:hint="eastAsia" w:ascii="仿宋_GB2312" w:hAnsi="黑体" w:eastAsia="仿宋_GB2312" w:cs="Times New Roman"/>
          <w:bCs/>
          <w:sz w:val="32"/>
          <w:szCs w:val="32"/>
        </w:rPr>
        <w:t>山东省港口集团      丛国栋  18765966197</w:t>
      </w: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ascii="仿宋_GB2312" w:hAnsi="黑体" w:eastAsia="仿宋_GB2312" w:cs="Times New Roman"/>
          <w:bCs/>
          <w:sz w:val="32"/>
          <w:szCs w:val="32"/>
        </w:rPr>
      </w:pPr>
      <w:r>
        <w:rPr>
          <w:rFonts w:hint="eastAsia" w:ascii="仿宋_GB2312" w:hAnsi="黑体" w:eastAsia="仿宋_GB2312" w:cs="Times New Roman"/>
          <w:bCs/>
          <w:sz w:val="32"/>
          <w:szCs w:val="32"/>
        </w:rPr>
        <w:t xml:space="preserve">山东省港口集团      吴同攀  </w:t>
      </w:r>
      <w:r>
        <w:rPr>
          <w:rFonts w:ascii="仿宋_GB2312" w:hAnsi="黑体" w:eastAsia="仿宋_GB2312" w:cs="Times New Roman"/>
          <w:bCs/>
          <w:sz w:val="32"/>
          <w:szCs w:val="32"/>
        </w:rPr>
        <w:t>13869896764</w:t>
      </w: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hint="default" w:ascii="仿宋_GB2312" w:hAnsi="黑体" w:eastAsia="仿宋_GB2312" w:cs="Times New Roman"/>
          <w:bCs/>
          <w:sz w:val="32"/>
          <w:szCs w:val="32"/>
          <w:lang w:val="en-US" w:eastAsia="zh-CN"/>
        </w:rPr>
      </w:pPr>
      <w:r>
        <w:rPr>
          <w:rFonts w:hint="eastAsia" w:ascii="仿宋_GB2312" w:hAnsi="黑体" w:eastAsia="仿宋_GB2312" w:cs="Times New Roman"/>
          <w:bCs/>
          <w:sz w:val="32"/>
          <w:szCs w:val="32"/>
        </w:rPr>
        <w:t>山东港口</w:t>
      </w:r>
      <w:r>
        <w:rPr>
          <w:rFonts w:hint="eastAsia" w:ascii="仿宋_GB2312" w:hAnsi="黑体" w:cs="Times New Roman"/>
          <w:bCs/>
          <w:sz w:val="32"/>
          <w:szCs w:val="32"/>
          <w:lang w:eastAsia="zh-CN"/>
        </w:rPr>
        <w:t>日照港</w:t>
      </w:r>
      <w:r>
        <w:rPr>
          <w:rFonts w:hint="eastAsia" w:ascii="仿宋_GB2312" w:hAnsi="黑体" w:eastAsia="仿宋_GB2312" w:cs="Times New Roman"/>
          <w:bCs/>
          <w:sz w:val="32"/>
          <w:szCs w:val="32"/>
        </w:rPr>
        <w:t xml:space="preserve">集团  </w:t>
      </w:r>
      <w:r>
        <w:rPr>
          <w:rFonts w:hint="eastAsia" w:ascii="仿宋_GB2312" w:hAnsi="黑体" w:cs="Times New Roman"/>
          <w:bCs/>
          <w:sz w:val="32"/>
          <w:szCs w:val="32"/>
          <w:lang w:eastAsia="zh-CN"/>
        </w:rPr>
        <w:t>陈祥政</w:t>
      </w:r>
      <w:r>
        <w:rPr>
          <w:rFonts w:hint="eastAsia" w:ascii="仿宋_GB2312" w:hAnsi="黑体" w:eastAsia="仿宋_GB2312" w:cs="Times New Roman"/>
          <w:bCs/>
          <w:sz w:val="32"/>
          <w:szCs w:val="32"/>
        </w:rPr>
        <w:t xml:space="preserve">  </w:t>
      </w:r>
      <w:r>
        <w:rPr>
          <w:rFonts w:hint="eastAsia" w:ascii="仿宋_GB2312" w:hAnsi="黑体" w:cs="Times New Roman"/>
          <w:bCs/>
          <w:sz w:val="32"/>
          <w:szCs w:val="32"/>
          <w:lang w:val="en-US" w:eastAsia="zh-CN"/>
        </w:rPr>
        <w:t>18363325205</w:t>
      </w:r>
    </w:p>
    <w:p>
      <w:pPr>
        <w:keepNext w:val="0"/>
        <w:keepLines w:val="0"/>
        <w:pageBreakBefore w:val="0"/>
        <w:widowControl w:val="0"/>
        <w:tabs>
          <w:tab w:val="left" w:pos="3878"/>
        </w:tabs>
        <w:kinsoku/>
        <w:wordWrap/>
        <w:overflowPunct/>
        <w:topLinePunct w:val="0"/>
        <w:autoSpaceDE/>
        <w:autoSpaceDN/>
        <w:bidi w:val="0"/>
        <w:spacing w:line="560" w:lineRule="exact"/>
        <w:ind w:firstLine="2560" w:firstLineChars="800"/>
        <w:jc w:val="left"/>
        <w:textAlignment w:val="auto"/>
        <w:rPr>
          <w:rFonts w:ascii="仿宋_GB2312" w:hAnsi="黑体" w:eastAsia="仿宋_GB2312" w:cs="Times New Roman"/>
          <w:bCs/>
          <w:sz w:val="32"/>
          <w:szCs w:val="32"/>
        </w:rPr>
      </w:pPr>
      <w:r>
        <w:rPr>
          <w:rFonts w:hint="eastAsia" w:ascii="仿宋_GB2312" w:hAnsi="黑体" w:eastAsia="仿宋_GB2312" w:cs="Times New Roman"/>
          <w:bCs/>
          <w:sz w:val="32"/>
          <w:szCs w:val="32"/>
        </w:rPr>
        <w:t xml:space="preserve">  </w:t>
      </w: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ascii="仿宋_GB2312" w:hAnsi="黑体" w:eastAsia="仿宋_GB2312" w:cs="Times New Roman"/>
          <w:bCs/>
          <w:sz w:val="32"/>
          <w:szCs w:val="32"/>
        </w:rPr>
      </w:pP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ascii="仿宋_GB2312" w:hAnsi="黑体" w:eastAsia="仿宋_GB2312" w:cs="Times New Roman"/>
          <w:bCs/>
          <w:sz w:val="32"/>
          <w:szCs w:val="32"/>
        </w:rPr>
      </w:pPr>
      <w:r>
        <w:rPr>
          <w:rFonts w:hint="eastAsia" w:ascii="仿宋_GB2312" w:hAnsi="黑体" w:eastAsia="仿宋_GB2312" w:cs="Times New Roman"/>
          <w:bCs/>
          <w:sz w:val="32"/>
          <w:szCs w:val="32"/>
        </w:rPr>
        <w:t>附件：1</w:t>
      </w:r>
      <w:r>
        <w:rPr>
          <w:rFonts w:ascii="仿宋_GB2312" w:hAnsi="黑体" w:eastAsia="仿宋_GB2312" w:cs="Times New Roman"/>
          <w:bCs/>
          <w:sz w:val="32"/>
          <w:szCs w:val="32"/>
        </w:rPr>
        <w:t>.</w:t>
      </w:r>
      <w:r>
        <w:rPr>
          <w:rFonts w:hint="eastAsia" w:ascii="仿宋_GB2312" w:hAnsi="黑体" w:eastAsia="仿宋_GB2312" w:cs="Times New Roman"/>
          <w:bCs/>
          <w:sz w:val="32"/>
          <w:szCs w:val="32"/>
        </w:rPr>
        <w:t>项目实操方案</w:t>
      </w:r>
    </w:p>
    <w:p>
      <w:pPr>
        <w:keepNext w:val="0"/>
        <w:keepLines w:val="0"/>
        <w:pageBreakBefore w:val="0"/>
        <w:widowControl w:val="0"/>
        <w:tabs>
          <w:tab w:val="left" w:pos="3878"/>
        </w:tabs>
        <w:kinsoku/>
        <w:wordWrap/>
        <w:overflowPunct/>
        <w:topLinePunct w:val="0"/>
        <w:autoSpaceDE/>
        <w:autoSpaceDN/>
        <w:bidi w:val="0"/>
        <w:spacing w:line="560" w:lineRule="exact"/>
        <w:ind w:firstLine="1600" w:firstLineChars="500"/>
        <w:jc w:val="left"/>
        <w:textAlignment w:val="auto"/>
        <w:rPr>
          <w:rFonts w:ascii="仿宋_GB2312" w:hAnsi="黑体" w:eastAsia="仿宋_GB2312" w:cs="Times New Roman"/>
          <w:bCs/>
          <w:sz w:val="32"/>
          <w:szCs w:val="32"/>
        </w:rPr>
      </w:pPr>
      <w:r>
        <w:rPr>
          <w:rFonts w:hint="eastAsia" w:ascii="仿宋_GB2312" w:hAnsi="黑体" w:eastAsia="仿宋_GB2312" w:cs="Times New Roman"/>
          <w:bCs/>
          <w:sz w:val="32"/>
          <w:szCs w:val="32"/>
        </w:rPr>
        <w:t>2</w:t>
      </w:r>
      <w:r>
        <w:rPr>
          <w:rFonts w:ascii="仿宋_GB2312" w:hAnsi="黑体" w:eastAsia="仿宋_GB2312" w:cs="Times New Roman"/>
          <w:bCs/>
          <w:sz w:val="32"/>
          <w:szCs w:val="32"/>
        </w:rPr>
        <w:t>.</w:t>
      </w:r>
      <w:r>
        <w:rPr>
          <w:rFonts w:hint="eastAsia" w:ascii="仿宋_GB2312" w:hAnsi="黑体" w:eastAsia="仿宋_GB2312" w:cs="Times New Roman"/>
          <w:bCs/>
          <w:sz w:val="32"/>
          <w:szCs w:val="32"/>
        </w:rPr>
        <w:t>项目实操竞赛评分表</w:t>
      </w: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ascii="仿宋_GB2312" w:hAnsi="黑体" w:eastAsia="仿宋_GB2312" w:cs="Times New Roman"/>
          <w:bCs/>
          <w:sz w:val="32"/>
          <w:szCs w:val="32"/>
        </w:rPr>
      </w:pPr>
      <w:r>
        <w:rPr>
          <w:rFonts w:hint="eastAsia" w:ascii="仿宋_GB2312" w:hAnsi="黑体" w:eastAsia="仿宋_GB2312" w:cs="Times New Roman"/>
          <w:bCs/>
          <w:sz w:val="32"/>
          <w:szCs w:val="32"/>
        </w:rPr>
        <w:t xml:space="preserve"> </w:t>
      </w:r>
      <w:r>
        <w:rPr>
          <w:rFonts w:ascii="仿宋_GB2312" w:hAnsi="黑体" w:eastAsia="仿宋_GB2312" w:cs="Times New Roman"/>
          <w:bCs/>
          <w:sz w:val="32"/>
          <w:szCs w:val="32"/>
        </w:rPr>
        <w:t xml:space="preserve">     3.</w:t>
      </w:r>
      <w:r>
        <w:rPr>
          <w:rFonts w:hint="eastAsia" w:ascii="仿宋_GB2312" w:hAnsi="黑体" w:eastAsia="仿宋_GB2312" w:cs="Times New Roman"/>
          <w:bCs/>
          <w:sz w:val="32"/>
          <w:szCs w:val="32"/>
        </w:rPr>
        <w:t>项目理论题库</w:t>
      </w:r>
    </w:p>
    <w:p>
      <w:pPr>
        <w:keepNext w:val="0"/>
        <w:keepLines w:val="0"/>
        <w:pageBreakBefore w:val="0"/>
        <w:widowControl w:val="0"/>
        <w:tabs>
          <w:tab w:val="left" w:pos="3878"/>
        </w:tabs>
        <w:kinsoku/>
        <w:wordWrap/>
        <w:overflowPunct/>
        <w:topLinePunct w:val="0"/>
        <w:autoSpaceDE/>
        <w:autoSpaceDN/>
        <w:bidi w:val="0"/>
        <w:spacing w:line="560" w:lineRule="exact"/>
        <w:ind w:firstLine="640" w:firstLineChars="200"/>
        <w:jc w:val="left"/>
        <w:textAlignment w:val="auto"/>
        <w:rPr>
          <w:rFonts w:hint="eastAsia" w:ascii="仿宋_GB2312" w:hAnsi="黑体" w:eastAsia="仿宋_GB2312" w:cs="Times New Roman"/>
          <w:bCs/>
          <w:sz w:val="32"/>
          <w:szCs w:val="32"/>
        </w:rPr>
      </w:pPr>
      <w:r>
        <w:rPr>
          <w:rFonts w:hint="eastAsia" w:ascii="仿宋_GB2312" w:hAnsi="黑体" w:eastAsia="仿宋_GB2312" w:cs="Times New Roman"/>
          <w:bCs/>
          <w:sz w:val="32"/>
          <w:szCs w:val="32"/>
        </w:rPr>
        <w:t xml:space="preserve">      4.项目参赛须知</w:t>
      </w:r>
    </w:p>
    <w:p>
      <w:pPr>
        <w:keepNext w:val="0"/>
        <w:keepLines w:val="0"/>
        <w:pageBreakBefore w:val="0"/>
        <w:widowControl w:val="0"/>
        <w:kinsoku/>
        <w:wordWrap/>
        <w:overflowPunct/>
        <w:topLinePunct w:val="0"/>
        <w:autoSpaceDE/>
        <w:autoSpaceDN/>
        <w:bidi w:val="0"/>
        <w:spacing w:line="560" w:lineRule="exact"/>
        <w:textAlignment w:val="auto"/>
      </w:pPr>
      <w:r>
        <w:br w:type="page"/>
      </w:r>
    </w:p>
    <w:p>
      <w:pPr>
        <w:keepNext w:val="0"/>
        <w:keepLines w:val="0"/>
        <w:pageBreakBefore w:val="0"/>
        <w:widowControl w:val="0"/>
        <w:kinsoku/>
        <w:wordWrap/>
        <w:overflowPunct/>
        <w:topLinePunct w:val="0"/>
        <w:autoSpaceDE/>
        <w:autoSpaceDN/>
        <w:bidi w:val="0"/>
        <w:spacing w:line="560" w:lineRule="exact"/>
        <w:ind w:left="0" w:leftChars="0" w:firstLine="0" w:firstLineChars="0"/>
        <w:jc w:val="left"/>
        <w:textAlignment w:val="auto"/>
        <w:rPr>
          <w:rFonts w:ascii="黑体" w:hAnsi="黑体" w:eastAsia="黑体" w:cs="黑体"/>
          <w:sz w:val="36"/>
          <w:szCs w:val="40"/>
        </w:rPr>
      </w:pPr>
      <w:r>
        <w:rPr>
          <w:rFonts w:hint="eastAsia" w:ascii="黑体" w:hAnsi="黑体" w:eastAsia="黑体" w:cs="黑体"/>
          <w:sz w:val="36"/>
          <w:szCs w:val="40"/>
        </w:rPr>
        <w:t>附件1</w:t>
      </w:r>
    </w:p>
    <w:p>
      <w:pPr>
        <w:pStyle w:val="9"/>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ascii="Calibri" w:hAnsi="Calibri" w:eastAsia="黑体" w:cs="Times New Roman"/>
          <w:bCs w:val="0"/>
          <w:snapToGrid/>
          <w:color w:val="000000" w:themeColor="text1"/>
          <w:kern w:val="44"/>
          <w:sz w:val="36"/>
          <w:szCs w:val="44"/>
          <w14:textFill>
            <w14:solidFill>
              <w14:schemeClr w14:val="tx1"/>
            </w14:solidFill>
          </w14:textFill>
        </w:rPr>
      </w:pPr>
      <w:r>
        <w:rPr>
          <w:rFonts w:hint="eastAsia" w:ascii="方正小标宋简体" w:hAnsi="方正小标宋简体" w:eastAsia="方正小标宋简体" w:cs="方正小标宋简体"/>
          <w:kern w:val="44"/>
          <w:sz w:val="40"/>
          <w:szCs w:val="40"/>
          <w:lang w:val="zh-CN"/>
        </w:rPr>
        <w:t>挖掘机</w:t>
      </w:r>
      <w:r>
        <w:rPr>
          <w:rFonts w:hint="eastAsia" w:ascii="方正小标宋简体" w:hAnsi="方正小标宋简体" w:eastAsia="方正小标宋简体" w:cs="方正小标宋简体"/>
          <w:kern w:val="44"/>
          <w:sz w:val="40"/>
          <w:szCs w:val="40"/>
        </w:rPr>
        <w:t>司机项目实操方案</w:t>
      </w:r>
    </w:p>
    <w:p>
      <w:pPr>
        <w:pStyle w:val="14"/>
        <w:keepNext w:val="0"/>
        <w:keepLines w:val="0"/>
        <w:pageBreakBefore w:val="0"/>
        <w:widowControl w:val="0"/>
        <w:kinsoku/>
        <w:wordWrap/>
        <w:overflowPunct/>
        <w:topLinePunct w:val="0"/>
        <w:autoSpaceDE/>
        <w:autoSpaceDN/>
        <w:bidi w:val="0"/>
        <w:adjustRightInd/>
        <w:snapToGrid/>
        <w:spacing w:before="120" w:beforeLines="50" w:after="120" w:afterLines="50" w:line="560" w:lineRule="exact"/>
        <w:ind w:firstLine="547" w:firstLineChars="171"/>
        <w:textAlignment w:val="auto"/>
        <w:rPr>
          <w:b w:val="0"/>
          <w:bCs/>
          <w:snapToGrid/>
          <w:kern w:val="2"/>
          <w:sz w:val="32"/>
          <w:szCs w:val="32"/>
        </w:rPr>
      </w:pPr>
      <w:r>
        <w:rPr>
          <w:b w:val="0"/>
          <w:bCs/>
          <w:snapToGrid/>
          <w:kern w:val="2"/>
          <w:sz w:val="32"/>
          <w:szCs w:val="32"/>
        </w:rPr>
        <w:t>一、项目简介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竞赛项目“喜报三元”，对挖掘机司机实际作业过程中的定点供料、清舱、堆垛上高、垛型平整等情景进行了综合模拟，其中汇总了多项有代表性的操作技能考察点，整个比赛流程共设置了“同心同德”、“举杯欢庆”和“追求卓越”三个环节，考验司机对挖掘机的熟练、精准操作能力，完成上述操作环节要求司机操作机械时必须具备“稳、准、巧”的娴熟技能，从而在实际作业中能够安全高效完成工作任务。</w:t>
      </w:r>
    </w:p>
    <w:p>
      <w:pPr>
        <w:pStyle w:val="14"/>
        <w:keepNext w:val="0"/>
        <w:keepLines w:val="0"/>
        <w:pageBreakBefore w:val="0"/>
        <w:widowControl w:val="0"/>
        <w:kinsoku/>
        <w:wordWrap/>
        <w:overflowPunct/>
        <w:topLinePunct w:val="0"/>
        <w:autoSpaceDE/>
        <w:autoSpaceDN/>
        <w:bidi w:val="0"/>
        <w:adjustRightInd/>
        <w:snapToGrid/>
        <w:spacing w:before="120" w:beforeLines="50" w:after="120" w:afterLines="50" w:line="560" w:lineRule="exact"/>
        <w:ind w:firstLine="547" w:firstLineChars="171"/>
        <w:textAlignment w:val="auto"/>
        <w:rPr>
          <w:rFonts w:ascii="宋体" w:hAnsi="宋体" w:cs="Times New Roman"/>
          <w:b w:val="0"/>
          <w:bCs/>
          <w:snapToGrid/>
          <w:kern w:val="2"/>
          <w:sz w:val="32"/>
          <w:szCs w:val="32"/>
        </w:rPr>
      </w:pPr>
      <w:r>
        <w:rPr>
          <w:rFonts w:ascii="宋体" w:hAnsi="宋体" w:cs="Times New Roman"/>
          <w:b w:val="0"/>
          <w:bCs/>
          <w:snapToGrid/>
          <w:kern w:val="2"/>
          <w:sz w:val="32"/>
          <w:szCs w:val="32"/>
        </w:rPr>
        <w:t>二、技术安全要求</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b/>
          <w:bCs/>
          <w:snapToGrid/>
          <w:kern w:val="2"/>
          <w:sz w:val="32"/>
          <w:szCs w:val="36"/>
        </w:rPr>
        <w:t>1.同心同德环节</w:t>
      </w:r>
      <w:r>
        <w:rPr>
          <w:rFonts w:hint="eastAsia" w:ascii="仿宋_GB2312" w:eastAsia="仿宋_GB2312" w:hAnsiTheme="minorHAnsi" w:cstheme="minorBidi"/>
          <w:snapToGrid/>
          <w:kern w:val="2"/>
          <w:sz w:val="32"/>
          <w:szCs w:val="36"/>
        </w:rPr>
        <w:t>，要求选手操控挖掘机，利用挖斗上的属具拨动圆环，顺时针旋转360度（面向观众席），绘制完成</w:t>
      </w:r>
      <w:bookmarkStart w:id="0" w:name="_Hlk109110467"/>
      <w:r>
        <w:rPr>
          <w:rFonts w:hint="eastAsia" w:ascii="仿宋_GB2312" w:eastAsia="仿宋_GB2312" w:hAnsiTheme="minorHAnsi" w:cstheme="minorBidi"/>
          <w:snapToGrid/>
          <w:kern w:val="2"/>
          <w:sz w:val="32"/>
          <w:szCs w:val="36"/>
        </w:rPr>
        <w:t>“</w:t>
      </w:r>
      <w:bookmarkEnd w:id="0"/>
      <w:r>
        <w:rPr>
          <w:rFonts w:hint="eastAsia" w:ascii="仿宋_GB2312" w:eastAsia="仿宋_GB2312" w:hAnsiTheme="minorHAnsi" w:cstheme="minorBidi"/>
          <w:snapToGrid/>
          <w:kern w:val="2"/>
          <w:sz w:val="32"/>
          <w:szCs w:val="36"/>
        </w:rPr>
        <w:t>○”。寓意四大港口集团，同心同德，共创山港美好明天。圆盘转一圈触发机关，显示器显示“大国工匠”字幕。挖掘机空中画圆环节，主要考验选手对挖掘机大小臂、挖斗及旋转角度的精准控制和各液压动作的连贯配合，选手在狭小活动范围内必须做到操作平稳、定位精确。考验的是选手稳健的心理素质和高超的操作技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b/>
          <w:bCs/>
          <w:snapToGrid/>
          <w:kern w:val="2"/>
          <w:sz w:val="32"/>
          <w:szCs w:val="36"/>
        </w:rPr>
        <w:t>2.举杯欢庆环节</w:t>
      </w:r>
      <w:r>
        <w:rPr>
          <w:rFonts w:hint="eastAsia" w:ascii="仿宋_GB2312" w:eastAsia="仿宋_GB2312" w:hAnsiTheme="minorHAnsi" w:cstheme="minorBidi"/>
          <w:snapToGrid/>
          <w:kern w:val="2"/>
          <w:sz w:val="32"/>
          <w:szCs w:val="36"/>
        </w:rPr>
        <w:t>，要求选手利用挖斗上的属具依次从船舶的一、二、三号舱取料，倒入三只酒杯中。一号酒杯绿色液体寓意港口倡导绿色环保，二号酒杯蓝色液体寓意发展海洋蓝色经济，三号酒杯红色液体寓意码头生产红红火火。该环节模拟舱内供料作业对船舷内舱边舱角货物的精准取料，检验选手精确控制挖掘机取货、放料、堆料的技术水平，意在锻炼选手平稳、娴熟的操作技能和安全风险防控能力。</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b/>
          <w:bCs/>
          <w:snapToGrid/>
          <w:kern w:val="2"/>
          <w:sz w:val="32"/>
          <w:szCs w:val="36"/>
        </w:rPr>
        <w:t>3.追求卓越环节</w:t>
      </w:r>
      <w:r>
        <w:rPr>
          <w:rFonts w:hint="eastAsia" w:ascii="仿宋_GB2312" w:eastAsia="仿宋_GB2312" w:hAnsiTheme="minorHAnsi" w:cstheme="minorBidi"/>
          <w:snapToGrid/>
          <w:kern w:val="2"/>
          <w:sz w:val="32"/>
          <w:szCs w:val="36"/>
        </w:rPr>
        <w:t>，要求选手利用挖斗上的属具依次将台阶上摆放的三个苹果穿起，并逐一放到酒杯上。体现了山港人“见红旗就扛、有第一就争”的卓越精神，同时寓意码头生产平平安安。这一环节主要考验操作司机在船舶清舱及垛位整形等复杂作业环境下的精准控制能力。</w:t>
      </w:r>
    </w:p>
    <w:p>
      <w:pPr>
        <w:pStyle w:val="14"/>
        <w:keepNext w:val="0"/>
        <w:keepLines w:val="0"/>
        <w:pageBreakBefore w:val="0"/>
        <w:widowControl w:val="0"/>
        <w:kinsoku/>
        <w:wordWrap/>
        <w:overflowPunct/>
        <w:topLinePunct w:val="0"/>
        <w:autoSpaceDE/>
        <w:autoSpaceDN/>
        <w:bidi w:val="0"/>
        <w:adjustRightInd/>
        <w:snapToGrid/>
        <w:spacing w:before="120" w:beforeLines="50" w:after="120" w:afterLines="50" w:line="560" w:lineRule="exact"/>
        <w:ind w:firstLine="547" w:firstLineChars="171"/>
        <w:textAlignment w:val="auto"/>
        <w:rPr>
          <w:rFonts w:hint="eastAsia" w:ascii="宋体" w:hAnsi="宋体" w:cs="Times New Roman"/>
          <w:b w:val="0"/>
          <w:bCs/>
          <w:snapToGrid/>
          <w:kern w:val="2"/>
          <w:sz w:val="32"/>
          <w:szCs w:val="32"/>
        </w:rPr>
      </w:pPr>
      <w:r>
        <w:rPr>
          <w:rFonts w:hint="eastAsia" w:ascii="宋体" w:hAnsi="宋体" w:cs="Times New Roman"/>
          <w:b w:val="0"/>
          <w:bCs/>
          <w:snapToGrid/>
          <w:kern w:val="2"/>
          <w:sz w:val="32"/>
          <w:szCs w:val="32"/>
        </w:rPr>
        <w:t>三、竞赛时间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12分钟。</w:t>
      </w:r>
    </w:p>
    <w:p>
      <w:pPr>
        <w:pStyle w:val="14"/>
        <w:keepNext w:val="0"/>
        <w:keepLines w:val="0"/>
        <w:pageBreakBefore w:val="0"/>
        <w:widowControl w:val="0"/>
        <w:kinsoku/>
        <w:wordWrap/>
        <w:overflowPunct/>
        <w:topLinePunct w:val="0"/>
        <w:autoSpaceDE/>
        <w:autoSpaceDN/>
        <w:bidi w:val="0"/>
        <w:adjustRightInd/>
        <w:snapToGrid/>
        <w:spacing w:before="120" w:beforeLines="50" w:after="120" w:afterLines="50" w:line="560" w:lineRule="exact"/>
        <w:ind w:firstLine="547" w:firstLineChars="171"/>
        <w:textAlignment w:val="auto"/>
        <w:rPr>
          <w:rFonts w:hint="eastAsia" w:ascii="宋体" w:hAnsi="宋体" w:cs="Times New Roman"/>
          <w:b w:val="0"/>
          <w:bCs/>
          <w:snapToGrid/>
          <w:kern w:val="2"/>
          <w:sz w:val="32"/>
          <w:szCs w:val="32"/>
        </w:rPr>
      </w:pPr>
      <w:r>
        <w:rPr>
          <w:rFonts w:hint="eastAsia" w:ascii="宋体" w:hAnsi="宋体" w:cs="Times New Roman"/>
          <w:b w:val="0"/>
          <w:bCs/>
          <w:snapToGrid/>
          <w:kern w:val="2"/>
          <w:sz w:val="32"/>
          <w:szCs w:val="32"/>
        </w:rPr>
        <w:t>四、竞赛内容和要求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（一）竞赛内容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准备就绪，裁判员给出比赛信号后，选手鸣笛开始比赛，裁判员开始计时；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1.操作挖掘机将挖斗从挖斗准备区域旋转至A区域；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2.用挖掘机挖斗上属具的绝缘勺柄将圆环顺时针旋转360度，绘制完成“○”；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3.将挖斗从A区域旋转到B区域；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4.用挖掘机挖斗上的属具依次取B区域1、2、3船舱内的液体倒入C区域内c1、c2、c3处的酒杯；过程中每个船舱只能取水1次；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5.将比赛用车从C区域旋转到D区域；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6.用挖掘机挖斗上的属具，依次将D区域台阶上d1、d2、d3处摆放的三个苹果道具穿起，放到c1、c2、c3处的酒杯上；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7.将挖斗放置于指定位置后鸣笛，计时结束，比赛完毕。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（二）竞赛要求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1.参赛选手必须持有挖掘机操作证，方具有参赛资质。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2.进入比赛现场必须穿工作服戴安全帽。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3.参赛选手及有关人员要遵守比赛纪律，听从组委会安排，服从裁判指挥。对裁判有异议的，应向所在单位领队反映，不准在现场与裁判争执。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4.参赛选手应在候场区观摩，不准随意走动，扰乱比赛秩序。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5.比赛现场设立明显警戒标志，无关人员不准进入比赛现场，任何人不得在现场协助参赛选手指挥。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6.现场人员必须服从评判人员指挥，不得影响他人比赛。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7.参赛选手必须严格执行挖掘机相关操作规定。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（1）在操作过程中插针出现损坏不纳入损坏道具行为，若比赛过程中插针断裂，但不影响选手后续操作，选手可继续操作。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（2）比赛时船舱内的水面以加满至溢出为准，苹果摆放以苹果叶朝向下台阶为准；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（3）比赛过程中，挖斗专用属具与道具碰触时间每超过3秒钟，增加1次报警计数。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（4）</w:t>
      </w:r>
      <w:bookmarkStart w:id="1" w:name="_Hlk109116705"/>
      <w:r>
        <w:rPr>
          <w:rFonts w:hint="eastAsia" w:ascii="仿宋_GB2312" w:eastAsia="仿宋_GB2312" w:hAnsiTheme="minorHAnsi" w:cstheme="minorBidi"/>
          <w:snapToGrid/>
          <w:kern w:val="2"/>
          <w:sz w:val="32"/>
          <w:szCs w:val="36"/>
        </w:rPr>
        <w:t>“举杯欢庆”</w:t>
      </w:r>
      <w:bookmarkEnd w:id="1"/>
      <w:r>
        <w:rPr>
          <w:rFonts w:hint="eastAsia" w:ascii="仿宋_GB2312" w:eastAsia="仿宋_GB2312" w:hAnsiTheme="minorHAnsi" w:cstheme="minorBidi"/>
          <w:snapToGrid/>
          <w:kern w:val="2"/>
          <w:sz w:val="32"/>
          <w:szCs w:val="36"/>
        </w:rPr>
        <w:t>操作环节，道具碰触船模型，但没有造成船体移位，不进行分数考核。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（5）</w:t>
      </w:r>
      <w:bookmarkStart w:id="2" w:name="_Hlk109116746"/>
      <w:r>
        <w:rPr>
          <w:rFonts w:hint="eastAsia" w:ascii="仿宋_GB2312" w:eastAsia="仿宋_GB2312" w:hAnsiTheme="minorHAnsi" w:cstheme="minorBidi"/>
          <w:snapToGrid/>
          <w:kern w:val="2"/>
          <w:sz w:val="32"/>
          <w:szCs w:val="36"/>
        </w:rPr>
        <w:t>“追求卓越”</w:t>
      </w:r>
      <w:bookmarkEnd w:id="2"/>
      <w:r>
        <w:rPr>
          <w:rFonts w:hint="eastAsia" w:ascii="仿宋_GB2312" w:eastAsia="仿宋_GB2312" w:hAnsiTheme="minorHAnsi" w:cstheme="minorBidi"/>
          <w:snapToGrid/>
          <w:kern w:val="2"/>
          <w:sz w:val="32"/>
          <w:szCs w:val="36"/>
        </w:rPr>
        <w:t>环节，必须按流程完成，确保比赛完整，若取不起来，必须用挖斗道具按顺序将苹果碰离原位，以偏离轮廓线为准。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（6）“追求卓越”环节，必须用小针穿入针孔完成，其他方式取出等同于未拿起苹果。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（7）“追求卓越”环节挖掘机在运行至控制线前苹果掉落，视为未挑起苹果。</w:t>
      </w:r>
    </w:p>
    <w:p>
      <w:pPr>
        <w:pStyle w:val="14"/>
        <w:keepNext w:val="0"/>
        <w:keepLines w:val="0"/>
        <w:pageBreakBefore w:val="0"/>
        <w:widowControl w:val="0"/>
        <w:kinsoku/>
        <w:wordWrap/>
        <w:overflowPunct/>
        <w:topLinePunct w:val="0"/>
        <w:autoSpaceDE/>
        <w:autoSpaceDN/>
        <w:bidi w:val="0"/>
        <w:adjustRightInd/>
        <w:snapToGrid/>
        <w:spacing w:before="120" w:beforeLines="50" w:after="120" w:afterLines="50" w:line="560" w:lineRule="exact"/>
        <w:ind w:firstLine="547" w:firstLineChars="171"/>
        <w:textAlignment w:val="auto"/>
        <w:rPr>
          <w:rFonts w:hint="eastAsia" w:ascii="宋体" w:hAnsi="宋体" w:cs="Times New Roman"/>
          <w:b w:val="0"/>
          <w:bCs/>
          <w:snapToGrid/>
          <w:kern w:val="2"/>
          <w:sz w:val="32"/>
          <w:szCs w:val="32"/>
        </w:rPr>
      </w:pPr>
      <w:r>
        <w:rPr>
          <w:rFonts w:hint="eastAsia" w:ascii="宋体" w:hAnsi="宋体" w:cs="Times New Roman"/>
          <w:b w:val="0"/>
          <w:bCs/>
          <w:snapToGrid/>
          <w:kern w:val="2"/>
          <w:sz w:val="32"/>
          <w:szCs w:val="32"/>
        </w:rPr>
        <w:t>五、成绩评判方法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参赛选手名次排序按照总成绩从高到低排名，如总成绩相同，则实操成绩高者排名靠前，若实操成绩相同，则竞赛用时较少者排名在前。比赛成绩设一类、二类两种，一类成绩排名优先。</w:t>
      </w:r>
    </w:p>
    <w:p>
      <w:pPr>
        <w:pStyle w:val="14"/>
        <w:keepNext w:val="0"/>
        <w:keepLines w:val="0"/>
        <w:pageBreakBefore w:val="0"/>
        <w:widowControl w:val="0"/>
        <w:kinsoku/>
        <w:wordWrap/>
        <w:overflowPunct/>
        <w:topLinePunct w:val="0"/>
        <w:autoSpaceDE/>
        <w:autoSpaceDN/>
        <w:bidi w:val="0"/>
        <w:adjustRightInd/>
        <w:snapToGrid/>
        <w:spacing w:before="120" w:beforeLines="50" w:after="120" w:afterLines="50" w:line="560" w:lineRule="exact"/>
        <w:ind w:firstLine="547" w:firstLineChars="171"/>
        <w:textAlignment w:val="auto"/>
        <w:rPr>
          <w:rFonts w:hint="eastAsia" w:ascii="宋体" w:hAnsi="宋体" w:cs="Times New Roman"/>
          <w:b w:val="0"/>
          <w:bCs/>
          <w:snapToGrid/>
          <w:kern w:val="2"/>
          <w:sz w:val="32"/>
          <w:szCs w:val="32"/>
        </w:rPr>
      </w:pPr>
      <w:r>
        <w:rPr>
          <w:rFonts w:hint="eastAsia" w:ascii="宋体" w:hAnsi="宋体" w:cs="Times New Roman"/>
          <w:b w:val="0"/>
          <w:bCs/>
          <w:snapToGrid/>
          <w:kern w:val="2"/>
          <w:sz w:val="32"/>
          <w:szCs w:val="32"/>
        </w:rPr>
        <w:t>六、竞赛器材及设备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（一）比赛用车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VOLVO EC240B挖掘机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（二）比赛使用的主要器材及数量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1.挖斗专用属具1个；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2.旋转轮1个；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3.船模型1个；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4.船模型放置架1个；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5.酒杯放置架1个；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6.酒杯(125ml高脚红酒杯）3个；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7.量筒(500ml）1个；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8.苹果放置架1个；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9.苹果模型3个；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10.裁判哨2个；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11.米尺（5米）1个；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12.秒表2个；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13.高精度电子秤（1000克，精度0.01克）一个。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（三）道具尺寸图</w:t>
      </w: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1.专用属具(尺寸图、实物图）</w:t>
      </w:r>
    </w:p>
    <w:p>
      <w:pPr>
        <w:rPr>
          <w:rFonts w:hint="eastAsia"/>
        </w:rPr>
      </w:pPr>
    </w:p>
    <w:p>
      <w:pPr>
        <w:pStyle w:val="2"/>
        <w:rPr>
          <w:rFonts w:hint="eastAsia" w:ascii="仿宋_GB2312" w:eastAsia="仿宋_GB2312" w:hAnsiTheme="minorHAnsi" w:cstheme="minorBidi"/>
          <w:snapToGrid/>
          <w:kern w:val="2"/>
          <w:sz w:val="32"/>
          <w:szCs w:val="36"/>
        </w:rPr>
      </w:pPr>
    </w:p>
    <w:p>
      <w:pPr>
        <w:rPr>
          <w:rFonts w:hint="eastAsia" w:ascii="仿宋_GB2312" w:eastAsia="仿宋_GB2312" w:hAnsiTheme="minorHAnsi" w:cstheme="minorBidi"/>
          <w:snapToGrid/>
          <w:kern w:val="2"/>
          <w:sz w:val="32"/>
          <w:szCs w:val="36"/>
        </w:rPr>
      </w:pPr>
    </w:p>
    <w:p>
      <w:pPr>
        <w:pStyle w:val="2"/>
        <w:rPr>
          <w:rFonts w:hint="eastAsia" w:ascii="仿宋_GB2312" w:eastAsia="仿宋_GB2312" w:hAnsiTheme="minorHAnsi" w:cstheme="minorBidi"/>
          <w:snapToGrid/>
          <w:kern w:val="2"/>
          <w:sz w:val="32"/>
          <w:szCs w:val="36"/>
        </w:rPr>
      </w:pPr>
    </w:p>
    <w:p>
      <w:pPr>
        <w:rPr>
          <w:rFonts w:hint="eastAsia"/>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drawing>
          <wp:anchor distT="0" distB="0" distL="114935" distR="114935" simplePos="0" relativeHeight="251660288" behindDoc="0" locked="0" layoutInCell="1" allowOverlap="1">
            <wp:simplePos x="0" y="0"/>
            <wp:positionH relativeFrom="column">
              <wp:posOffset>406400</wp:posOffset>
            </wp:positionH>
            <wp:positionV relativeFrom="paragraph">
              <wp:posOffset>-1635760</wp:posOffset>
            </wp:positionV>
            <wp:extent cx="2910840" cy="1905635"/>
            <wp:effectExtent l="0" t="0" r="0" b="14605"/>
            <wp:wrapNone/>
            <wp:docPr id="2" name="图片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
                    <pic:cNvPicPr>
                      <a:picLocks noChangeAspect="1"/>
                    </pic:cNvPicPr>
                  </pic:nvPicPr>
                  <pic:blipFill>
                    <a:blip r:embed="rId12"/>
                    <a:stretch>
                      <a:fillRect/>
                    </a:stretch>
                  </pic:blipFill>
                  <pic:spPr>
                    <a:xfrm>
                      <a:off x="0" y="0"/>
                      <a:ext cx="2910840" cy="1905635"/>
                    </a:xfrm>
                    <a:prstGeom prst="rect">
                      <a:avLst/>
                    </a:prstGeom>
                  </pic:spPr>
                </pic:pic>
              </a:graphicData>
            </a:graphic>
          </wp:anchor>
        </w:drawing>
      </w:r>
      <w:r>
        <w:rPr>
          <w:rFonts w:hint="eastAsia" w:ascii="仿宋_GB2312" w:eastAsia="仿宋_GB2312" w:hAnsiTheme="minorHAnsi" w:cstheme="minorBidi"/>
          <w:snapToGrid/>
          <w:kern w:val="2"/>
          <w:sz w:val="32"/>
          <w:szCs w:val="36"/>
        </w:rPr>
        <w:drawing>
          <wp:inline distT="0" distB="0" distL="114300" distR="114300">
            <wp:extent cx="1724660" cy="1822450"/>
            <wp:effectExtent l="0" t="0" r="12700" b="6350"/>
            <wp:docPr id="11"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
                    <pic:cNvPicPr>
                      <a:picLocks noChangeAspect="1"/>
                    </pic:cNvPicPr>
                  </pic:nvPicPr>
                  <pic:blipFill>
                    <a:blip r:embed="rId13"/>
                    <a:stretch>
                      <a:fillRect/>
                    </a:stretch>
                  </pic:blipFill>
                  <pic:spPr>
                    <a:xfrm>
                      <a:off x="0" y="0"/>
                      <a:ext cx="1724660" cy="1822450"/>
                    </a:xfrm>
                    <a:prstGeom prst="rect">
                      <a:avLst/>
                    </a:prstGeom>
                  </pic:spPr>
                </pic:pic>
              </a:graphicData>
            </a:graphic>
          </wp:inline>
        </w:drawing>
      </w: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属具支架加工图尺寸</w:t>
      </w: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drawing>
          <wp:anchor distT="0" distB="0" distL="114300" distR="114300" simplePos="0" relativeHeight="251659264" behindDoc="1" locked="0" layoutInCell="1" allowOverlap="1">
            <wp:simplePos x="0" y="0"/>
            <wp:positionH relativeFrom="column">
              <wp:posOffset>283210</wp:posOffset>
            </wp:positionH>
            <wp:positionV relativeFrom="paragraph">
              <wp:posOffset>23495</wp:posOffset>
            </wp:positionV>
            <wp:extent cx="3606165" cy="3173730"/>
            <wp:effectExtent l="0" t="0" r="13335" b="7620"/>
            <wp:wrapNone/>
            <wp:docPr id="3" name="图片 3" descr="微信图片_2021092915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929153447"/>
                    <pic:cNvPicPr>
                      <a:picLocks noChangeAspect="1"/>
                    </pic:cNvPicPr>
                  </pic:nvPicPr>
                  <pic:blipFill>
                    <a:blip r:embed="rId14"/>
                    <a:stretch>
                      <a:fillRect/>
                    </a:stretch>
                  </pic:blipFill>
                  <pic:spPr>
                    <a:xfrm>
                      <a:off x="0" y="0"/>
                      <a:ext cx="3606165" cy="3173730"/>
                    </a:xfrm>
                    <a:prstGeom prst="rect">
                      <a:avLst/>
                    </a:prstGeom>
                  </pic:spPr>
                </pic:pic>
              </a:graphicData>
            </a:graphic>
          </wp:anchor>
        </w:drawing>
      </w: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2.旋转轮</w:t>
      </w:r>
    </w:p>
    <w:p>
      <w:pPr>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drawing>
          <wp:anchor distT="0" distB="0" distL="114935" distR="114935" simplePos="0" relativeHeight="251661312" behindDoc="0" locked="0" layoutInCell="1" allowOverlap="1">
            <wp:simplePos x="0" y="0"/>
            <wp:positionH relativeFrom="column">
              <wp:posOffset>282575</wp:posOffset>
            </wp:positionH>
            <wp:positionV relativeFrom="paragraph">
              <wp:posOffset>135255</wp:posOffset>
            </wp:positionV>
            <wp:extent cx="4398010" cy="3688080"/>
            <wp:effectExtent l="0" t="0" r="2540" b="762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398010" cy="3688080"/>
                    </a:xfrm>
                    <a:prstGeom prst="rect">
                      <a:avLst/>
                    </a:prstGeom>
                  </pic:spPr>
                </pic:pic>
              </a:graphicData>
            </a:graphic>
          </wp:anchor>
        </w:drawing>
      </w:r>
    </w:p>
    <w:p>
      <w:pPr>
        <w:pStyle w:val="2"/>
        <w:rPr>
          <w:rFonts w:hint="eastAsia" w:ascii="仿宋_GB2312" w:eastAsia="仿宋_GB2312" w:hAnsiTheme="minorHAnsi" w:cstheme="minorBidi"/>
          <w:snapToGrid/>
          <w:kern w:val="2"/>
          <w:sz w:val="32"/>
          <w:szCs w:val="36"/>
        </w:rPr>
      </w:pPr>
    </w:p>
    <w:p>
      <w:pPr>
        <w:rPr>
          <w:rFonts w:hint="eastAsia" w:ascii="仿宋_GB2312" w:eastAsia="仿宋_GB2312" w:hAnsiTheme="minorHAnsi" w:cstheme="minorBidi"/>
          <w:snapToGrid/>
          <w:kern w:val="2"/>
          <w:sz w:val="32"/>
          <w:szCs w:val="36"/>
        </w:rPr>
      </w:pPr>
    </w:p>
    <w:p>
      <w:pPr>
        <w:pStyle w:val="2"/>
        <w:rPr>
          <w:rFonts w:hint="eastAsia" w:ascii="仿宋_GB2312" w:eastAsia="仿宋_GB2312" w:hAnsiTheme="minorHAnsi" w:cstheme="minorBidi"/>
          <w:snapToGrid/>
          <w:kern w:val="2"/>
          <w:sz w:val="32"/>
          <w:szCs w:val="36"/>
        </w:rPr>
      </w:pPr>
    </w:p>
    <w:p>
      <w:pPr>
        <w:rPr>
          <w:rFonts w:hint="eastAsia" w:ascii="仿宋_GB2312" w:eastAsia="仿宋_GB2312" w:hAnsiTheme="minorHAnsi" w:cstheme="minorBidi"/>
          <w:snapToGrid/>
          <w:kern w:val="2"/>
          <w:sz w:val="32"/>
          <w:szCs w:val="36"/>
        </w:rPr>
      </w:pPr>
    </w:p>
    <w:p>
      <w:pPr>
        <w:pStyle w:val="2"/>
        <w:rPr>
          <w:rFonts w:hint="eastAsia" w:ascii="仿宋_GB2312" w:eastAsia="仿宋_GB2312" w:hAnsiTheme="minorHAnsi" w:cstheme="minorBidi"/>
          <w:snapToGrid/>
          <w:kern w:val="2"/>
          <w:sz w:val="32"/>
          <w:szCs w:val="36"/>
        </w:rPr>
      </w:pPr>
    </w:p>
    <w:p>
      <w:pPr>
        <w:rPr>
          <w:rFonts w:hint="eastAsia" w:ascii="仿宋_GB2312" w:eastAsia="仿宋_GB2312" w:hAnsiTheme="minorHAnsi" w:cstheme="minorBidi"/>
          <w:snapToGrid/>
          <w:kern w:val="2"/>
          <w:sz w:val="32"/>
          <w:szCs w:val="36"/>
        </w:rPr>
      </w:pPr>
    </w:p>
    <w:p>
      <w:pPr>
        <w:pStyle w:val="2"/>
        <w:rPr>
          <w:rFonts w:hint="eastAsia"/>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p>
    <w:p>
      <w:pPr>
        <w:pStyle w:val="2"/>
        <w:rPr>
          <w:rFonts w:hint="eastAsia" w:ascii="仿宋_GB2312" w:eastAsia="仿宋_GB2312" w:hAnsiTheme="minorHAnsi" w:cstheme="minorBidi"/>
          <w:snapToGrid/>
          <w:kern w:val="2"/>
          <w:sz w:val="32"/>
          <w:szCs w:val="36"/>
        </w:rPr>
      </w:pPr>
    </w:p>
    <w:p>
      <w:pPr>
        <w:numPr>
          <w:ilvl w:val="0"/>
          <w:numId w:val="0"/>
        </w:numPr>
        <w:adjustRightInd/>
        <w:snapToGrid/>
        <w:spacing w:line="560" w:lineRule="exact"/>
        <w:rPr>
          <w:rFonts w:hint="eastAsia" w:ascii="仿宋_GB2312" w:eastAsia="仿宋_GB2312" w:hAnsiTheme="minorHAnsi" w:cstheme="minorBidi"/>
          <w:snapToGrid/>
          <w:kern w:val="2"/>
          <w:sz w:val="32"/>
          <w:szCs w:val="36"/>
        </w:rPr>
      </w:pPr>
    </w:p>
    <w:p>
      <w:pPr>
        <w:numPr>
          <w:ilvl w:val="0"/>
          <w:numId w:val="0"/>
        </w:numPr>
        <w:adjustRightInd/>
        <w:snapToGrid/>
        <w:spacing w:line="560" w:lineRule="exact"/>
        <w:ind w:firstLine="640" w:firstLineChars="200"/>
        <w:rPr>
          <w:rFonts w:hint="eastAsia" w:ascii="仿宋_GB2312" w:eastAsia="仿宋_GB2312" w:hAnsiTheme="minorHAnsi" w:cstheme="minorBidi"/>
          <w:snapToGrid/>
          <w:kern w:val="2"/>
          <w:sz w:val="32"/>
          <w:szCs w:val="36"/>
        </w:rPr>
      </w:pPr>
      <w:r>
        <w:rPr>
          <w:rFonts w:hint="eastAsia" w:ascii="仿宋_GB2312" w:hAnsiTheme="minorHAnsi" w:cstheme="minorBidi"/>
          <w:snapToGrid/>
          <w:kern w:val="2"/>
          <w:sz w:val="32"/>
          <w:szCs w:val="36"/>
          <w:lang w:val="en-US" w:eastAsia="zh-CN"/>
        </w:rPr>
        <w:t>3.</w:t>
      </w:r>
      <w:r>
        <w:rPr>
          <w:rFonts w:hint="eastAsia" w:ascii="仿宋_GB2312" w:eastAsia="仿宋_GB2312" w:hAnsiTheme="minorHAnsi" w:cstheme="minorBidi"/>
          <w:snapToGrid/>
          <w:kern w:val="2"/>
          <w:sz w:val="32"/>
          <w:szCs w:val="36"/>
        </w:rPr>
        <w:t>船模型及放置架</w:t>
      </w:r>
    </w:p>
    <w:p>
      <w:pPr>
        <w:pStyle w:val="2"/>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drawing>
          <wp:anchor distT="0" distB="0" distL="0" distR="0" simplePos="0" relativeHeight="251662336" behindDoc="0" locked="0" layoutInCell="1" allowOverlap="1">
            <wp:simplePos x="0" y="0"/>
            <wp:positionH relativeFrom="column">
              <wp:posOffset>425450</wp:posOffset>
            </wp:positionH>
            <wp:positionV relativeFrom="paragraph">
              <wp:posOffset>188595</wp:posOffset>
            </wp:positionV>
            <wp:extent cx="4262120" cy="3503295"/>
            <wp:effectExtent l="0" t="0" r="5080" b="190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4262120" cy="3503295"/>
                    </a:xfrm>
                    <a:prstGeom prst="rect">
                      <a:avLst/>
                    </a:prstGeom>
                  </pic:spPr>
                </pic:pic>
              </a:graphicData>
            </a:graphic>
          </wp:anchor>
        </w:drawing>
      </w:r>
    </w:p>
    <w:p>
      <w:pPr>
        <w:rPr>
          <w:rFonts w:hint="eastAsia" w:ascii="仿宋_GB2312" w:eastAsia="仿宋_GB2312" w:hAnsiTheme="minorHAnsi" w:cstheme="minorBidi"/>
          <w:snapToGrid/>
          <w:kern w:val="2"/>
          <w:sz w:val="32"/>
          <w:szCs w:val="36"/>
        </w:rPr>
      </w:pPr>
    </w:p>
    <w:p>
      <w:pPr>
        <w:pStyle w:val="2"/>
        <w:rPr>
          <w:rFonts w:hint="eastAsia" w:ascii="仿宋_GB2312" w:eastAsia="仿宋_GB2312" w:hAnsiTheme="minorHAnsi" w:cstheme="minorBidi"/>
          <w:snapToGrid/>
          <w:kern w:val="2"/>
          <w:sz w:val="32"/>
          <w:szCs w:val="36"/>
        </w:rPr>
      </w:pPr>
    </w:p>
    <w:p>
      <w:pPr>
        <w:rPr>
          <w:rFonts w:hint="eastAsia" w:ascii="仿宋_GB2312" w:eastAsia="仿宋_GB2312" w:hAnsiTheme="minorHAnsi" w:cstheme="minorBidi"/>
          <w:snapToGrid/>
          <w:kern w:val="2"/>
          <w:sz w:val="32"/>
          <w:szCs w:val="36"/>
        </w:rPr>
      </w:pPr>
    </w:p>
    <w:p>
      <w:pPr>
        <w:pStyle w:val="2"/>
        <w:rPr>
          <w:rFonts w:hint="eastAsia"/>
        </w:rPr>
      </w:pPr>
    </w:p>
    <w:p>
      <w:pPr>
        <w:pStyle w:val="2"/>
        <w:widowControl w:val="0"/>
        <w:numPr>
          <w:ilvl w:val="0"/>
          <w:numId w:val="0"/>
        </w:numPr>
        <w:adjustRightInd w:val="0"/>
        <w:snapToGrid w:val="0"/>
        <w:spacing w:line="560" w:lineRule="exact"/>
        <w:jc w:val="both"/>
        <w:rPr>
          <w:rFonts w:hint="eastAsia"/>
        </w:rPr>
      </w:pPr>
    </w:p>
    <w:p>
      <w:pPr>
        <w:rPr>
          <w:rFonts w:hint="eastAsia"/>
        </w:rPr>
      </w:pPr>
    </w:p>
    <w:p>
      <w:pPr>
        <w:pStyle w:val="2"/>
        <w:rPr>
          <w:rFonts w:hint="eastAsia"/>
        </w:rPr>
      </w:pPr>
    </w:p>
    <w:p>
      <w:pPr>
        <w:rPr>
          <w:rFonts w:hint="eastAsia"/>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4.酒杯放置架</w:t>
      </w: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drawing>
          <wp:anchor distT="0" distB="0" distL="114300" distR="114300" simplePos="0" relativeHeight="251668480" behindDoc="0" locked="0" layoutInCell="1" allowOverlap="1">
            <wp:simplePos x="0" y="0"/>
            <wp:positionH relativeFrom="column">
              <wp:posOffset>406400</wp:posOffset>
            </wp:positionH>
            <wp:positionV relativeFrom="paragraph">
              <wp:posOffset>-2363470</wp:posOffset>
            </wp:positionV>
            <wp:extent cx="3902075" cy="2344420"/>
            <wp:effectExtent l="0" t="0" r="3175" b="17780"/>
            <wp:wrapNone/>
            <wp:docPr id="15" name="图片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
                    <pic:cNvPicPr>
                      <a:picLocks noChangeAspect="1"/>
                    </pic:cNvPicPr>
                  </pic:nvPicPr>
                  <pic:blipFill>
                    <a:blip r:embed="rId17"/>
                    <a:stretch>
                      <a:fillRect/>
                    </a:stretch>
                  </pic:blipFill>
                  <pic:spPr>
                    <a:xfrm>
                      <a:off x="0" y="0"/>
                      <a:ext cx="3902075" cy="2344420"/>
                    </a:xfrm>
                    <a:prstGeom prst="rect">
                      <a:avLst/>
                    </a:prstGeom>
                  </pic:spPr>
                </pic:pic>
              </a:graphicData>
            </a:graphic>
          </wp:anchor>
        </w:drawing>
      </w: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r>
        <w:rPr>
          <w:rFonts w:hint="eastAsia" w:ascii="仿宋_GB2312" w:hAnsiTheme="minorHAnsi" w:cstheme="minorBidi"/>
          <w:snapToGrid/>
          <w:kern w:val="2"/>
          <w:sz w:val="32"/>
          <w:szCs w:val="36"/>
          <w:lang w:val="en-US" w:eastAsia="zh-CN"/>
        </w:rPr>
        <w:t>5.</w:t>
      </w:r>
      <w:r>
        <w:rPr>
          <w:rFonts w:hint="eastAsia" w:ascii="仿宋_GB2312" w:eastAsia="仿宋_GB2312" w:hAnsiTheme="minorHAnsi" w:cstheme="minorBidi"/>
          <w:snapToGrid/>
          <w:kern w:val="2"/>
          <w:sz w:val="32"/>
          <w:szCs w:val="36"/>
        </w:rPr>
        <w:t>酒杯摆放位置图</w:t>
      </w:r>
    </w:p>
    <w:p>
      <w:pPr>
        <w:pStyle w:val="2"/>
        <w:rPr>
          <w:rFonts w:hint="eastAsia"/>
        </w:rPr>
      </w:pPr>
    </w:p>
    <w:p>
      <w:pPr>
        <w:pStyle w:val="2"/>
        <w:rPr>
          <w:rFonts w:hint="eastAsia"/>
        </w:rPr>
      </w:pPr>
    </w:p>
    <w:p>
      <w:pPr>
        <w:pStyle w:val="2"/>
        <w:rPr>
          <w:rFonts w:hint="eastAsia"/>
        </w:rPr>
      </w:pPr>
    </w:p>
    <w:p>
      <w:pPr>
        <w:rPr>
          <w:rFonts w:hint="eastAsia"/>
        </w:rPr>
      </w:pPr>
    </w:p>
    <w:p>
      <w:pPr>
        <w:pStyle w:val="2"/>
        <w:rPr>
          <w:rFonts w:hint="eastAsia"/>
        </w:rPr>
      </w:pPr>
    </w:p>
    <w:p>
      <w:pPr>
        <w:rPr>
          <w:rFonts w:hint="eastAsia"/>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drawing>
          <wp:anchor distT="0" distB="0" distL="0" distR="0" simplePos="0" relativeHeight="251663360" behindDoc="0" locked="0" layoutInCell="1" allowOverlap="1">
            <wp:simplePos x="0" y="0"/>
            <wp:positionH relativeFrom="column">
              <wp:posOffset>406400</wp:posOffset>
            </wp:positionH>
            <wp:positionV relativeFrom="paragraph">
              <wp:posOffset>-1849755</wp:posOffset>
            </wp:positionV>
            <wp:extent cx="3592195" cy="1760855"/>
            <wp:effectExtent l="0" t="0" r="8255" b="1079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3592195" cy="1760855"/>
                    </a:xfrm>
                    <a:prstGeom prst="rect">
                      <a:avLst/>
                    </a:prstGeom>
                  </pic:spPr>
                </pic:pic>
              </a:graphicData>
            </a:graphic>
          </wp:anchor>
        </w:drawing>
      </w:r>
      <w:r>
        <w:rPr>
          <w:rFonts w:hint="eastAsia" w:ascii="仿宋_GB2312" w:hAnsiTheme="minorHAnsi" w:cstheme="minorBidi"/>
          <w:snapToGrid/>
          <w:kern w:val="2"/>
          <w:sz w:val="32"/>
          <w:szCs w:val="36"/>
          <w:lang w:val="en-US" w:eastAsia="zh-CN"/>
        </w:rPr>
        <w:t>6.</w:t>
      </w:r>
      <w:r>
        <w:rPr>
          <w:rFonts w:hint="eastAsia" w:ascii="仿宋_GB2312" w:eastAsia="仿宋_GB2312" w:hAnsiTheme="minorHAnsi" w:cstheme="minorBidi"/>
          <w:snapToGrid/>
          <w:kern w:val="2"/>
          <w:sz w:val="32"/>
          <w:szCs w:val="36"/>
        </w:rPr>
        <w:t>苹果放置架</w:t>
      </w:r>
    </w:p>
    <w:p>
      <w:pPr>
        <w:pStyle w:val="2"/>
        <w:widowControl w:val="0"/>
        <w:numPr>
          <w:ilvl w:val="0"/>
          <w:numId w:val="0"/>
        </w:numPr>
        <w:adjustRightInd w:val="0"/>
        <w:snapToGrid w:val="0"/>
        <w:spacing w:line="560" w:lineRule="exact"/>
        <w:jc w:val="both"/>
        <w:rPr>
          <w:rFonts w:hint="eastAsia"/>
        </w:rPr>
      </w:pPr>
      <w:r>
        <w:rPr>
          <w:rFonts w:hint="eastAsia" w:ascii="仿宋_GB2312" w:eastAsia="仿宋_GB2312" w:hAnsiTheme="minorHAnsi" w:cstheme="minorBidi"/>
          <w:snapToGrid/>
          <w:kern w:val="2"/>
          <w:sz w:val="32"/>
          <w:szCs w:val="36"/>
        </w:rPr>
        <w:drawing>
          <wp:anchor distT="0" distB="0" distL="114300" distR="114300" simplePos="0" relativeHeight="251664384" behindDoc="0" locked="0" layoutInCell="1" allowOverlap="1">
            <wp:simplePos x="0" y="0"/>
            <wp:positionH relativeFrom="column">
              <wp:posOffset>434975</wp:posOffset>
            </wp:positionH>
            <wp:positionV relativeFrom="paragraph">
              <wp:posOffset>151130</wp:posOffset>
            </wp:positionV>
            <wp:extent cx="3157220" cy="2367280"/>
            <wp:effectExtent l="0" t="0" r="5080" b="13970"/>
            <wp:wrapNone/>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19"/>
                    <a:stretch>
                      <a:fillRect/>
                    </a:stretch>
                  </pic:blipFill>
                  <pic:spPr>
                    <a:xfrm>
                      <a:off x="0" y="0"/>
                      <a:ext cx="3157220" cy="2367280"/>
                    </a:xfrm>
                    <a:prstGeom prst="rect">
                      <a:avLst/>
                    </a:prstGeom>
                  </pic:spPr>
                </pic:pic>
              </a:graphicData>
            </a:graphic>
          </wp:anchor>
        </w:drawing>
      </w: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numPr>
          <w:ilvl w:val="0"/>
          <w:numId w:val="0"/>
        </w:numPr>
        <w:adjustRightInd/>
        <w:snapToGrid/>
        <w:spacing w:line="560" w:lineRule="exact"/>
        <w:ind w:leftChars="200"/>
        <w:rPr>
          <w:rFonts w:hint="eastAsia" w:ascii="仿宋_GB2312" w:eastAsia="仿宋_GB2312" w:hAnsiTheme="minorHAnsi" w:cstheme="minorBidi"/>
          <w:snapToGrid/>
          <w:kern w:val="2"/>
          <w:sz w:val="32"/>
          <w:szCs w:val="36"/>
        </w:rPr>
      </w:pPr>
      <w:r>
        <w:rPr>
          <w:rFonts w:hint="eastAsia" w:ascii="仿宋_GB2312" w:hAnsiTheme="minorHAnsi" w:cstheme="minorBidi"/>
          <w:snapToGrid/>
          <w:kern w:val="2"/>
          <w:sz w:val="32"/>
          <w:szCs w:val="36"/>
          <w:lang w:val="en-US" w:eastAsia="zh-CN"/>
        </w:rPr>
        <w:t>7.</w:t>
      </w:r>
      <w:r>
        <w:rPr>
          <w:rFonts w:hint="eastAsia" w:ascii="仿宋_GB2312" w:eastAsia="仿宋_GB2312" w:hAnsiTheme="minorHAnsi" w:cstheme="minorBidi"/>
          <w:snapToGrid/>
          <w:kern w:val="2"/>
          <w:sz w:val="32"/>
          <w:szCs w:val="36"/>
        </w:rPr>
        <w:t>苹果</w:t>
      </w:r>
    </w:p>
    <w:p>
      <w:pPr>
        <w:pStyle w:val="2"/>
        <w:widowControl w:val="0"/>
        <w:numPr>
          <w:ilvl w:val="0"/>
          <w:numId w:val="0"/>
        </w:numPr>
        <w:adjustRightInd w:val="0"/>
        <w:snapToGrid w:val="0"/>
        <w:spacing w:line="560" w:lineRule="exact"/>
        <w:jc w:val="both"/>
        <w:rPr>
          <w:rFonts w:hint="eastAsia"/>
        </w:rPr>
      </w:pPr>
    </w:p>
    <w:p>
      <w:pPr>
        <w:rPr>
          <w:rFonts w:hint="eastAsia"/>
        </w:rPr>
      </w:pPr>
    </w:p>
    <w:p>
      <w:pPr>
        <w:pStyle w:val="2"/>
        <w:rPr>
          <w:rFonts w:hint="eastAsia"/>
        </w:rPr>
      </w:pPr>
    </w:p>
    <w:p>
      <w:pPr>
        <w:rPr>
          <w:rFonts w:hint="eastAsia"/>
        </w:rPr>
      </w:pPr>
    </w:p>
    <w:p>
      <w:pPr>
        <w:pStyle w:val="2"/>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drawing>
          <wp:anchor distT="0" distB="0" distL="114300" distR="114300" simplePos="0" relativeHeight="251665408" behindDoc="0" locked="0" layoutInCell="1" allowOverlap="1">
            <wp:simplePos x="0" y="0"/>
            <wp:positionH relativeFrom="column">
              <wp:posOffset>406400</wp:posOffset>
            </wp:positionH>
            <wp:positionV relativeFrom="paragraph">
              <wp:posOffset>-3487420</wp:posOffset>
            </wp:positionV>
            <wp:extent cx="3872865" cy="3122295"/>
            <wp:effectExtent l="0" t="0" r="13335" b="1905"/>
            <wp:wrapNone/>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20"/>
                    <a:stretch>
                      <a:fillRect/>
                    </a:stretch>
                  </pic:blipFill>
                  <pic:spPr>
                    <a:xfrm>
                      <a:off x="0" y="0"/>
                      <a:ext cx="3872865" cy="3122295"/>
                    </a:xfrm>
                    <a:prstGeom prst="rect">
                      <a:avLst/>
                    </a:prstGeom>
                  </pic:spPr>
                </pic:pic>
              </a:graphicData>
            </a:graphic>
          </wp:anchor>
        </w:drawing>
      </w: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r>
        <w:rPr>
          <w:rFonts w:hint="eastAsia" w:ascii="仿宋_GB2312" w:hAnsiTheme="minorHAnsi" w:cstheme="minorBidi"/>
          <w:snapToGrid/>
          <w:kern w:val="2"/>
          <w:sz w:val="32"/>
          <w:szCs w:val="36"/>
          <w:lang w:val="en-US" w:eastAsia="zh-CN"/>
        </w:rPr>
        <w:t>8</w:t>
      </w:r>
      <w:r>
        <w:rPr>
          <w:rFonts w:hint="eastAsia" w:ascii="仿宋_GB2312" w:eastAsia="仿宋_GB2312" w:hAnsiTheme="minorHAnsi" w:cstheme="minorBidi"/>
          <w:snapToGrid/>
          <w:kern w:val="2"/>
          <w:sz w:val="32"/>
          <w:szCs w:val="36"/>
        </w:rPr>
        <w:t>.专用属具实物图</w:t>
      </w:r>
    </w:p>
    <w:p>
      <w:pPr>
        <w:rPr>
          <w:rFonts w:hint="eastAsia"/>
        </w:rPr>
      </w:pPr>
      <w:r>
        <w:rPr>
          <w:rFonts w:hint="eastAsia" w:ascii="仿宋_GB2312" w:eastAsia="仿宋_GB2312" w:hAnsiTheme="minorHAnsi" w:cstheme="minorBidi"/>
          <w:snapToGrid/>
          <w:kern w:val="2"/>
          <w:sz w:val="32"/>
          <w:szCs w:val="36"/>
        </w:rPr>
        <w:drawing>
          <wp:anchor distT="0" distB="0" distL="0" distR="0" simplePos="0" relativeHeight="251666432" behindDoc="0" locked="0" layoutInCell="1" allowOverlap="1">
            <wp:simplePos x="0" y="0"/>
            <wp:positionH relativeFrom="column">
              <wp:posOffset>605790</wp:posOffset>
            </wp:positionH>
            <wp:positionV relativeFrom="paragraph">
              <wp:posOffset>62865</wp:posOffset>
            </wp:positionV>
            <wp:extent cx="3643630" cy="3012440"/>
            <wp:effectExtent l="0" t="0" r="13970" b="1651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3643630" cy="3012440"/>
                    </a:xfrm>
                    <a:prstGeom prst="rect">
                      <a:avLst/>
                    </a:prstGeom>
                  </pic:spPr>
                </pic:pic>
              </a:graphicData>
            </a:graphic>
          </wp:anchor>
        </w:drawing>
      </w:r>
    </w:p>
    <w:p>
      <w:pPr>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r>
        <w:rPr>
          <w:rFonts w:hint="eastAsia" w:ascii="仿宋_GB2312" w:eastAsia="仿宋_GB2312" w:hAnsiTheme="minorHAnsi" w:cstheme="minorBidi"/>
          <w:snapToGrid/>
          <w:kern w:val="2"/>
          <w:sz w:val="32"/>
          <w:szCs w:val="36"/>
        </w:rPr>
        <w:t xml:space="preserve"> </w:t>
      </w: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p>
    <w:p>
      <w:pPr>
        <w:adjustRightInd/>
        <w:snapToGrid/>
        <w:spacing w:line="560" w:lineRule="exact"/>
        <w:ind w:firstLine="643" w:firstLineChars="200"/>
        <w:rPr>
          <w:rFonts w:hint="eastAsia" w:ascii="仿宋_GB2312" w:eastAsia="仿宋_GB2312" w:hAnsiTheme="minorHAnsi" w:cstheme="minorBidi"/>
          <w:b/>
          <w:bCs/>
          <w:snapToGrid/>
          <w:kern w:val="2"/>
          <w:sz w:val="32"/>
          <w:szCs w:val="36"/>
        </w:rPr>
      </w:pPr>
      <w:r>
        <w:rPr>
          <w:rFonts w:hint="eastAsia" w:ascii="仿宋_GB2312" w:eastAsia="仿宋_GB2312" w:hAnsiTheme="minorHAnsi" w:cstheme="minorBidi"/>
          <w:b/>
          <w:bCs/>
          <w:snapToGrid/>
          <w:kern w:val="2"/>
          <w:sz w:val="32"/>
          <w:szCs w:val="36"/>
        </w:rPr>
        <w:t>七、竞赛线路图（各操作区区域间隔45度）</w:t>
      </w:r>
    </w:p>
    <w:p>
      <w:pPr>
        <w:pStyle w:val="2"/>
        <w:rPr>
          <w:rFonts w:hint="eastAsia"/>
        </w:rPr>
      </w:pPr>
    </w:p>
    <w:p>
      <w:pPr>
        <w:rPr>
          <w:rFonts w:hint="eastAsia"/>
        </w:rPr>
      </w:pPr>
      <w:r>
        <w:rPr>
          <w:rFonts w:hint="eastAsia" w:ascii="仿宋_GB2312" w:eastAsia="仿宋_GB2312" w:hAnsiTheme="minorHAnsi" w:cstheme="minorBidi"/>
          <w:snapToGrid/>
          <w:kern w:val="2"/>
          <w:sz w:val="32"/>
          <w:szCs w:val="36"/>
        </w:rPr>
        <w:drawing>
          <wp:anchor distT="0" distB="0" distL="0" distR="0" simplePos="0" relativeHeight="251667456" behindDoc="0" locked="0" layoutInCell="1" allowOverlap="1">
            <wp:simplePos x="0" y="0"/>
            <wp:positionH relativeFrom="column">
              <wp:posOffset>215900</wp:posOffset>
            </wp:positionH>
            <wp:positionV relativeFrom="paragraph">
              <wp:posOffset>1905</wp:posOffset>
            </wp:positionV>
            <wp:extent cx="5270500" cy="3199130"/>
            <wp:effectExtent l="0" t="0" r="6350" b="127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0500" cy="3199251"/>
                    </a:xfrm>
                    <a:prstGeom prst="rect">
                      <a:avLst/>
                    </a:prstGeom>
                    <a:noFill/>
                    <a:ln>
                      <a:noFill/>
                    </a:ln>
                  </pic:spPr>
                </pic:pic>
              </a:graphicData>
            </a:graphic>
          </wp:anchor>
        </w:drawing>
      </w: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pPr>
    </w:p>
    <w:p>
      <w:pPr>
        <w:adjustRightInd/>
        <w:snapToGrid/>
        <w:spacing w:line="560" w:lineRule="exact"/>
        <w:ind w:firstLine="640" w:firstLineChars="200"/>
        <w:rPr>
          <w:rFonts w:hint="eastAsia" w:ascii="仿宋_GB2312" w:eastAsia="仿宋_GB2312" w:hAnsiTheme="minorHAnsi" w:cstheme="minorBidi"/>
          <w:snapToGrid/>
          <w:kern w:val="2"/>
          <w:sz w:val="32"/>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134" w:right="1803" w:bottom="850" w:left="1803" w:header="851" w:footer="992" w:gutter="0"/>
          <w:pgNumType w:fmt="numberInDash"/>
          <w:cols w:space="0" w:num="1"/>
          <w:docGrid w:linePitch="326" w:charSpace="0"/>
        </w:sectPr>
      </w:pPr>
    </w:p>
    <w:p>
      <w:pPr>
        <w:keepNext w:val="0"/>
        <w:keepLines w:val="0"/>
        <w:pageBreakBefore w:val="0"/>
        <w:widowControl w:val="0"/>
        <w:kinsoku/>
        <w:wordWrap/>
        <w:overflowPunct/>
        <w:topLinePunct w:val="0"/>
        <w:autoSpaceDE/>
        <w:autoSpaceDN/>
        <w:bidi w:val="0"/>
        <w:adjustRightInd w:val="0"/>
        <w:snapToGrid w:val="0"/>
        <w:ind w:right="-950" w:rightChars="-297"/>
        <w:jc w:val="left"/>
        <w:textAlignment w:val="auto"/>
        <w:rPr>
          <w:rFonts w:hint="eastAsia" w:ascii="黑体" w:hAnsi="黑体" w:eastAsia="黑体" w:cs="黑体"/>
          <w:bCs/>
          <w:sz w:val="32"/>
          <w:szCs w:val="32"/>
        </w:rPr>
      </w:pPr>
      <w:r>
        <w:rPr>
          <w:rFonts w:hint="eastAsia" w:ascii="黑体" w:hAnsi="黑体" w:eastAsia="黑体" w:cs="黑体"/>
          <w:bCs/>
          <w:sz w:val="32"/>
          <w:szCs w:val="32"/>
        </w:rPr>
        <w:t>附件2</w:t>
      </w:r>
    </w:p>
    <w:p>
      <w:pPr>
        <w:spacing w:line="240" w:lineRule="auto"/>
        <w:ind w:firstLine="0" w:firstLineChars="0"/>
        <w:jc w:val="center"/>
        <w:rPr>
          <w:rFonts w:eastAsia="黑体" w:cs="Times New Roman"/>
          <w:snapToGrid/>
          <w:kern w:val="44"/>
          <w:sz w:val="36"/>
          <w:szCs w:val="44"/>
        </w:rPr>
      </w:pPr>
      <w:r>
        <w:rPr>
          <w:rFonts w:hint="eastAsia" w:eastAsia="黑体" w:cs="Times New Roman"/>
          <w:snapToGrid/>
          <w:kern w:val="44"/>
          <w:sz w:val="36"/>
          <w:szCs w:val="44"/>
        </w:rPr>
        <w:t>挖掘机司机</w:t>
      </w:r>
      <w:r>
        <w:rPr>
          <w:rFonts w:hint="eastAsia" w:ascii="方正小标宋简体" w:hAnsi="方正小标宋简体" w:eastAsia="方正小标宋简体" w:cs="方正小标宋简体"/>
          <w:bCs/>
          <w:sz w:val="36"/>
          <w:szCs w:val="36"/>
        </w:rPr>
        <w:t>项目实操竞赛评分表</w:t>
      </w:r>
    </w:p>
    <w:p>
      <w:pPr>
        <w:snapToGrid/>
        <w:spacing w:line="240" w:lineRule="auto"/>
        <w:ind w:firstLine="964" w:firstLineChars="400"/>
        <w:jc w:val="left"/>
        <w:rPr>
          <w:rFonts w:ascii="宋体" w:hAnsi="宋体" w:eastAsia="宋体"/>
          <w:b/>
          <w:sz w:val="24"/>
          <w:szCs w:val="24"/>
        </w:rPr>
      </w:pPr>
      <w:r>
        <w:rPr>
          <w:rFonts w:hint="eastAsia" w:ascii="宋体" w:hAnsi="宋体"/>
          <w:b/>
          <w:sz w:val="24"/>
        </w:rPr>
        <w:t>抽签顺序号：</w:t>
      </w:r>
      <w:r>
        <w:rPr>
          <w:rFonts w:hint="eastAsia" w:ascii="宋体" w:hAnsi="宋体" w:eastAsia="宋体"/>
          <w:b/>
          <w:sz w:val="24"/>
          <w:szCs w:val="24"/>
          <w:u w:val="single"/>
        </w:rPr>
        <w:t xml:space="preserve">     </w:t>
      </w:r>
      <w:r>
        <w:rPr>
          <w:rFonts w:hint="eastAsia" w:ascii="宋体" w:hAnsi="宋体" w:eastAsia="宋体"/>
          <w:b/>
          <w:sz w:val="24"/>
          <w:szCs w:val="24"/>
        </w:rPr>
        <w:t xml:space="preserve"> </w:t>
      </w:r>
      <w:r>
        <w:rPr>
          <w:rFonts w:hint="eastAsia" w:ascii="宋体" w:hAnsi="宋体"/>
          <w:b/>
          <w:sz w:val="24"/>
        </w:rPr>
        <w:t>单位：</w:t>
      </w:r>
      <w:r>
        <w:rPr>
          <w:rFonts w:hint="eastAsia" w:ascii="宋体" w:hAnsi="宋体" w:eastAsia="宋体"/>
          <w:b/>
          <w:sz w:val="24"/>
          <w:szCs w:val="24"/>
          <w:u w:val="single"/>
        </w:rPr>
        <w:t xml:space="preserve">          </w:t>
      </w:r>
      <w:r>
        <w:rPr>
          <w:rFonts w:hint="eastAsia" w:ascii="宋体" w:hAnsi="宋体" w:eastAsia="宋体"/>
          <w:b/>
          <w:sz w:val="24"/>
          <w:szCs w:val="24"/>
        </w:rPr>
        <w:t xml:space="preserve"> </w:t>
      </w:r>
      <w:r>
        <w:rPr>
          <w:rFonts w:hint="eastAsia" w:ascii="宋体" w:hAnsi="宋体"/>
          <w:b/>
          <w:sz w:val="24"/>
        </w:rPr>
        <w:t>姓名：</w:t>
      </w:r>
      <w:r>
        <w:rPr>
          <w:rFonts w:hint="eastAsia" w:ascii="宋体" w:hAnsi="宋体" w:eastAsia="宋体"/>
          <w:b/>
          <w:sz w:val="24"/>
          <w:szCs w:val="24"/>
          <w:u w:val="single"/>
        </w:rPr>
        <w:t xml:space="preserve">          </w:t>
      </w:r>
      <w:r>
        <w:rPr>
          <w:rFonts w:hint="eastAsia" w:ascii="宋体" w:hAnsi="宋体" w:eastAsia="宋体"/>
          <w:b/>
          <w:sz w:val="24"/>
          <w:szCs w:val="24"/>
        </w:rPr>
        <w:t xml:space="preserve"> </w:t>
      </w:r>
      <w:r>
        <w:rPr>
          <w:rFonts w:hint="eastAsia" w:ascii="宋体" w:hAnsi="宋体"/>
          <w:b/>
          <w:sz w:val="24"/>
        </w:rPr>
        <w:t>竞赛日期：</w:t>
      </w:r>
      <w:r>
        <w:rPr>
          <w:rFonts w:hint="eastAsia" w:ascii="宋体" w:hAnsi="宋体" w:eastAsia="宋体"/>
          <w:b/>
          <w:sz w:val="24"/>
          <w:szCs w:val="24"/>
          <w:u w:val="single"/>
        </w:rPr>
        <w:t xml:space="preserve">       </w:t>
      </w:r>
      <w:r>
        <w:rPr>
          <w:rFonts w:hint="eastAsia" w:ascii="宋体" w:hAnsi="宋体" w:eastAsia="宋体"/>
          <w:b/>
          <w:sz w:val="24"/>
          <w:szCs w:val="24"/>
        </w:rPr>
        <w:t xml:space="preserve"> </w:t>
      </w:r>
    </w:p>
    <w:tbl>
      <w:tblPr>
        <w:tblStyle w:val="11"/>
        <w:tblW w:w="104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5"/>
        <w:gridCol w:w="71"/>
        <w:gridCol w:w="2120"/>
        <w:gridCol w:w="1814"/>
        <w:gridCol w:w="415"/>
        <w:gridCol w:w="1111"/>
        <w:gridCol w:w="109"/>
        <w:gridCol w:w="947"/>
        <w:gridCol w:w="1200"/>
        <w:gridCol w:w="1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485" w:type="dxa"/>
            <w:tcBorders>
              <w:bottom w:val="single" w:color="auto" w:sz="4" w:space="0"/>
            </w:tcBorders>
            <w:vAlign w:val="center"/>
          </w:tcPr>
          <w:p>
            <w:pPr>
              <w:spacing w:line="240" w:lineRule="auto"/>
              <w:ind w:firstLine="0" w:firstLineChars="0"/>
              <w:jc w:val="center"/>
              <w:rPr>
                <w:rFonts w:ascii="仿宋" w:hAnsi="仿宋" w:eastAsia="仿宋" w:cs="仿宋"/>
                <w:b/>
                <w:sz w:val="24"/>
                <w:szCs w:val="24"/>
              </w:rPr>
            </w:pPr>
            <w:r>
              <w:rPr>
                <w:rFonts w:hint="eastAsia" w:ascii="仿宋" w:hAnsi="仿宋" w:eastAsia="仿宋" w:cs="仿宋"/>
                <w:b/>
                <w:sz w:val="24"/>
                <w:szCs w:val="24"/>
              </w:rPr>
              <w:t>评分项目</w:t>
            </w:r>
          </w:p>
        </w:tc>
        <w:tc>
          <w:tcPr>
            <w:tcW w:w="5640" w:type="dxa"/>
            <w:gridSpan w:val="6"/>
            <w:tcBorders>
              <w:bottom w:val="single" w:color="auto" w:sz="4" w:space="0"/>
            </w:tcBorders>
            <w:vAlign w:val="center"/>
          </w:tcPr>
          <w:p>
            <w:pPr>
              <w:spacing w:line="240" w:lineRule="auto"/>
              <w:ind w:firstLine="0" w:firstLineChars="0"/>
              <w:jc w:val="center"/>
              <w:rPr>
                <w:rFonts w:ascii="仿宋" w:hAnsi="仿宋" w:eastAsia="仿宋" w:cs="仿宋"/>
                <w:b/>
                <w:sz w:val="24"/>
                <w:szCs w:val="24"/>
              </w:rPr>
            </w:pPr>
            <w:r>
              <w:rPr>
                <w:rFonts w:hint="eastAsia" w:ascii="仿宋" w:hAnsi="仿宋" w:eastAsia="仿宋" w:cs="仿宋"/>
                <w:b/>
                <w:sz w:val="24"/>
                <w:szCs w:val="24"/>
              </w:rPr>
              <w:t>评分标准</w:t>
            </w:r>
          </w:p>
        </w:tc>
        <w:tc>
          <w:tcPr>
            <w:tcW w:w="947" w:type="dxa"/>
            <w:vAlign w:val="center"/>
          </w:tcPr>
          <w:p>
            <w:pPr>
              <w:spacing w:line="240" w:lineRule="auto"/>
              <w:ind w:firstLine="0" w:firstLineChars="0"/>
              <w:jc w:val="center"/>
              <w:rPr>
                <w:rFonts w:ascii="仿宋" w:hAnsi="仿宋" w:eastAsia="仿宋" w:cs="仿宋"/>
                <w:b/>
                <w:sz w:val="24"/>
                <w:szCs w:val="24"/>
              </w:rPr>
            </w:pPr>
            <w:r>
              <w:rPr>
                <w:rFonts w:hint="eastAsia" w:ascii="仿宋" w:hAnsi="仿宋" w:eastAsia="仿宋" w:cs="仿宋"/>
                <w:b/>
                <w:sz w:val="24"/>
                <w:szCs w:val="24"/>
              </w:rPr>
              <w:t>配分</w:t>
            </w:r>
          </w:p>
        </w:tc>
        <w:tc>
          <w:tcPr>
            <w:tcW w:w="1200" w:type="dxa"/>
            <w:vAlign w:val="center"/>
          </w:tcPr>
          <w:p>
            <w:pPr>
              <w:spacing w:line="240" w:lineRule="auto"/>
              <w:ind w:firstLine="0" w:firstLineChars="0"/>
              <w:jc w:val="center"/>
              <w:rPr>
                <w:rFonts w:ascii="仿宋" w:hAnsi="仿宋" w:eastAsia="仿宋" w:cs="仿宋"/>
                <w:b/>
                <w:sz w:val="24"/>
                <w:szCs w:val="24"/>
              </w:rPr>
            </w:pPr>
            <w:r>
              <w:rPr>
                <w:rFonts w:hint="eastAsia" w:ascii="仿宋" w:hAnsi="仿宋" w:eastAsia="仿宋" w:cs="仿宋"/>
                <w:b/>
                <w:sz w:val="24"/>
                <w:szCs w:val="24"/>
              </w:rPr>
              <w:t>扣分</w:t>
            </w:r>
          </w:p>
        </w:tc>
        <w:tc>
          <w:tcPr>
            <w:tcW w:w="1200" w:type="dxa"/>
            <w:vAlign w:val="center"/>
          </w:tcPr>
          <w:p>
            <w:pPr>
              <w:spacing w:line="240" w:lineRule="auto"/>
              <w:ind w:firstLine="0" w:firstLineChars="0"/>
              <w:jc w:val="center"/>
              <w:rPr>
                <w:rFonts w:ascii="仿宋" w:hAnsi="仿宋" w:eastAsia="仿宋" w:cs="仿宋"/>
                <w:b/>
                <w:sz w:val="24"/>
                <w:szCs w:val="24"/>
              </w:rPr>
            </w:pPr>
            <w:r>
              <w:rPr>
                <w:rFonts w:hint="eastAsia" w:ascii="仿宋" w:hAnsi="仿宋" w:eastAsia="仿宋" w:cs="仿宋"/>
                <w:b/>
                <w:sz w:val="24"/>
                <w:szCs w:val="24"/>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restart"/>
            <w:vAlign w:val="center"/>
          </w:tcPr>
          <w:p>
            <w:pPr>
              <w:spacing w:line="240" w:lineRule="auto"/>
              <w:ind w:firstLine="0" w:firstLineChars="0"/>
              <w:jc w:val="center"/>
              <w:rPr>
                <w:rFonts w:ascii="宋体" w:hAnsi="宋体" w:eastAsia="宋体"/>
                <w:bCs/>
                <w:sz w:val="21"/>
                <w:szCs w:val="21"/>
              </w:rPr>
            </w:pPr>
            <w:r>
              <w:rPr>
                <w:rFonts w:hint="eastAsia" w:ascii="宋体" w:hAnsi="宋体" w:eastAsia="宋体"/>
                <w:bCs/>
                <w:sz w:val="21"/>
                <w:szCs w:val="21"/>
              </w:rPr>
              <w:t>操作规范</w:t>
            </w:r>
          </w:p>
        </w:tc>
        <w:tc>
          <w:tcPr>
            <w:tcW w:w="5640" w:type="dxa"/>
            <w:gridSpan w:val="6"/>
            <w:tcBorders>
              <w:bottom w:val="single" w:color="auto" w:sz="4" w:space="0"/>
            </w:tcBorders>
            <w:vAlign w:val="center"/>
          </w:tcPr>
          <w:p>
            <w:pPr>
              <w:spacing w:line="240" w:lineRule="auto"/>
              <w:ind w:firstLine="0" w:firstLineChars="0"/>
              <w:jc w:val="left"/>
              <w:rPr>
                <w:rFonts w:ascii="宋体" w:hAnsi="宋体" w:eastAsia="宋体"/>
                <w:b/>
                <w:sz w:val="21"/>
                <w:szCs w:val="21"/>
              </w:rPr>
            </w:pPr>
            <w:r>
              <w:rPr>
                <w:rFonts w:hint="eastAsia" w:ascii="宋体" w:hAnsi="宋体" w:eastAsia="宋体"/>
                <w:bCs/>
                <w:sz w:val="21"/>
                <w:szCs w:val="21"/>
              </w:rPr>
              <w:t>比赛开始前未按要求鸣笛扣</w:t>
            </w:r>
            <w:r>
              <w:rPr>
                <w:rFonts w:ascii="宋体" w:hAnsi="宋体" w:eastAsia="宋体"/>
                <w:bCs/>
                <w:sz w:val="21"/>
                <w:szCs w:val="21"/>
              </w:rPr>
              <w:t>2</w:t>
            </w:r>
            <w:r>
              <w:rPr>
                <w:rFonts w:hint="eastAsia" w:ascii="宋体" w:hAnsi="宋体" w:eastAsia="宋体"/>
                <w:bCs/>
                <w:sz w:val="21"/>
                <w:szCs w:val="21"/>
              </w:rPr>
              <w:t>分。</w:t>
            </w:r>
          </w:p>
        </w:tc>
        <w:tc>
          <w:tcPr>
            <w:tcW w:w="947" w:type="dxa"/>
            <w:vMerge w:val="restart"/>
            <w:vAlign w:val="center"/>
          </w:tcPr>
          <w:p>
            <w:pPr>
              <w:spacing w:line="240" w:lineRule="auto"/>
              <w:ind w:firstLine="0" w:firstLineChars="0"/>
              <w:jc w:val="center"/>
              <w:rPr>
                <w:rFonts w:ascii="宋体" w:hAnsi="宋体" w:eastAsia="宋体"/>
                <w:sz w:val="21"/>
                <w:szCs w:val="21"/>
              </w:rPr>
            </w:pPr>
            <w:r>
              <w:rPr>
                <w:rFonts w:ascii="宋体" w:hAnsi="宋体" w:eastAsia="宋体"/>
                <w:sz w:val="21"/>
                <w:szCs w:val="21"/>
              </w:rPr>
              <w:t>11</w:t>
            </w:r>
            <w:r>
              <w:rPr>
                <w:rFonts w:hint="eastAsia" w:ascii="宋体" w:hAnsi="宋体" w:eastAsia="宋体"/>
                <w:sz w:val="21"/>
                <w:szCs w:val="21"/>
              </w:rPr>
              <w:t>分</w:t>
            </w:r>
          </w:p>
        </w:tc>
        <w:tc>
          <w:tcPr>
            <w:tcW w:w="1200" w:type="dxa"/>
            <w:vAlign w:val="center"/>
          </w:tcPr>
          <w:p>
            <w:pPr>
              <w:spacing w:line="240" w:lineRule="auto"/>
              <w:ind w:firstLine="0" w:firstLineChars="0"/>
              <w:jc w:val="center"/>
              <w:rPr>
                <w:rFonts w:ascii="宋体" w:hAnsi="宋体" w:eastAsia="宋体"/>
                <w:b/>
                <w:sz w:val="21"/>
                <w:szCs w:val="21"/>
              </w:rPr>
            </w:pPr>
          </w:p>
        </w:tc>
        <w:tc>
          <w:tcPr>
            <w:tcW w:w="1200" w:type="dxa"/>
            <w:vMerge w:val="restart"/>
            <w:vAlign w:val="center"/>
          </w:tcPr>
          <w:p>
            <w:pPr>
              <w:spacing w:line="240" w:lineRule="auto"/>
              <w:ind w:firstLine="0" w:firstLineChars="0"/>
              <w:jc w:val="center"/>
              <w:rPr>
                <w:rFonts w:ascii="宋体" w:hAnsi="宋体" w:eastAsia="宋体"/>
                <w:b/>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continue"/>
            <w:vAlign w:val="center"/>
          </w:tcPr>
          <w:p>
            <w:pPr>
              <w:spacing w:line="240" w:lineRule="auto"/>
              <w:ind w:firstLine="0" w:firstLineChars="0"/>
              <w:jc w:val="center"/>
              <w:rPr>
                <w:rFonts w:ascii="宋体" w:hAnsi="宋体" w:eastAsia="宋体"/>
                <w:bCs/>
                <w:sz w:val="21"/>
                <w:szCs w:val="21"/>
              </w:rPr>
            </w:pPr>
          </w:p>
        </w:tc>
        <w:tc>
          <w:tcPr>
            <w:tcW w:w="5640" w:type="dxa"/>
            <w:gridSpan w:val="6"/>
            <w:vAlign w:val="center"/>
          </w:tcPr>
          <w:p>
            <w:pPr>
              <w:spacing w:line="240" w:lineRule="auto"/>
              <w:ind w:firstLine="0" w:firstLineChars="0"/>
              <w:jc w:val="left"/>
              <w:rPr>
                <w:rFonts w:ascii="宋体" w:hAnsi="宋体" w:eastAsia="宋体"/>
                <w:b w:val="0"/>
                <w:bCs w:val="0"/>
                <w:color w:val="auto"/>
                <w:sz w:val="21"/>
                <w:szCs w:val="21"/>
              </w:rPr>
            </w:pPr>
            <w:r>
              <w:rPr>
                <w:rFonts w:hint="eastAsia" w:ascii="宋体" w:hAnsi="宋体" w:eastAsia="宋体"/>
                <w:b w:val="0"/>
                <w:bCs w:val="0"/>
                <w:color w:val="auto"/>
                <w:sz w:val="21"/>
                <w:szCs w:val="21"/>
              </w:rPr>
              <w:t>未正确穿戴劳动防护品扣</w:t>
            </w:r>
            <w:r>
              <w:rPr>
                <w:rFonts w:ascii="宋体" w:hAnsi="宋体" w:eastAsia="宋体"/>
                <w:b w:val="0"/>
                <w:bCs w:val="0"/>
                <w:color w:val="auto"/>
                <w:sz w:val="21"/>
                <w:szCs w:val="21"/>
              </w:rPr>
              <w:t>2</w:t>
            </w:r>
            <w:r>
              <w:rPr>
                <w:rFonts w:hint="eastAsia" w:ascii="宋体" w:hAnsi="宋体" w:eastAsia="宋体"/>
                <w:b w:val="0"/>
                <w:bCs w:val="0"/>
                <w:color w:val="auto"/>
                <w:sz w:val="21"/>
                <w:szCs w:val="21"/>
              </w:rPr>
              <w:t>分。</w:t>
            </w:r>
          </w:p>
        </w:tc>
        <w:tc>
          <w:tcPr>
            <w:tcW w:w="947" w:type="dxa"/>
            <w:vMerge w:val="continue"/>
            <w:vAlign w:val="center"/>
          </w:tcPr>
          <w:p>
            <w:pPr>
              <w:spacing w:line="240" w:lineRule="auto"/>
              <w:ind w:firstLine="0" w:firstLineChars="0"/>
              <w:jc w:val="center"/>
              <w:rPr>
                <w:rFonts w:ascii="宋体" w:hAnsi="宋体" w:eastAsia="宋体"/>
                <w:sz w:val="21"/>
                <w:szCs w:val="21"/>
              </w:rPr>
            </w:pPr>
          </w:p>
        </w:tc>
        <w:tc>
          <w:tcPr>
            <w:tcW w:w="1200" w:type="dxa"/>
            <w:vAlign w:val="center"/>
          </w:tcPr>
          <w:p>
            <w:pPr>
              <w:spacing w:line="240" w:lineRule="auto"/>
              <w:ind w:firstLine="0" w:firstLineChars="0"/>
              <w:jc w:val="center"/>
              <w:rPr>
                <w:rFonts w:ascii="宋体" w:hAnsi="宋体" w:eastAsia="宋体"/>
                <w:sz w:val="21"/>
                <w:szCs w:val="21"/>
              </w:rPr>
            </w:pPr>
          </w:p>
        </w:tc>
        <w:tc>
          <w:tcPr>
            <w:tcW w:w="1200" w:type="dxa"/>
            <w:vMerge w:val="continue"/>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continue"/>
            <w:vAlign w:val="center"/>
          </w:tcPr>
          <w:p>
            <w:pPr>
              <w:spacing w:line="240" w:lineRule="auto"/>
              <w:ind w:firstLine="0" w:firstLineChars="0"/>
              <w:jc w:val="center"/>
              <w:rPr>
                <w:rFonts w:ascii="宋体" w:hAnsi="宋体" w:eastAsia="宋体"/>
                <w:bCs/>
                <w:sz w:val="21"/>
                <w:szCs w:val="21"/>
              </w:rPr>
            </w:pPr>
          </w:p>
        </w:tc>
        <w:tc>
          <w:tcPr>
            <w:tcW w:w="5640" w:type="dxa"/>
            <w:gridSpan w:val="6"/>
            <w:tcBorders>
              <w:left w:val="single" w:color="auto" w:sz="4" w:space="0"/>
            </w:tcBorders>
            <w:vAlign w:val="center"/>
          </w:tcPr>
          <w:p>
            <w:pPr>
              <w:spacing w:line="240" w:lineRule="auto"/>
              <w:ind w:firstLine="0" w:firstLineChars="0"/>
              <w:jc w:val="left"/>
              <w:rPr>
                <w:rFonts w:ascii="宋体" w:hAnsi="宋体" w:eastAsia="宋体"/>
                <w:b w:val="0"/>
                <w:bCs w:val="0"/>
                <w:color w:val="auto"/>
                <w:sz w:val="21"/>
                <w:szCs w:val="21"/>
              </w:rPr>
            </w:pPr>
            <w:r>
              <w:rPr>
                <w:rFonts w:hint="eastAsia" w:ascii="宋体" w:hAnsi="宋体" w:eastAsia="宋体"/>
                <w:b w:val="0"/>
                <w:bCs w:val="0"/>
                <w:color w:val="auto"/>
                <w:sz w:val="21"/>
                <w:szCs w:val="21"/>
              </w:rPr>
              <w:t>比赛结束后未按要求鸣笛扣</w:t>
            </w:r>
            <w:r>
              <w:rPr>
                <w:rFonts w:ascii="宋体" w:hAnsi="宋体" w:eastAsia="宋体"/>
                <w:b w:val="0"/>
                <w:bCs w:val="0"/>
                <w:color w:val="auto"/>
                <w:sz w:val="21"/>
                <w:szCs w:val="21"/>
              </w:rPr>
              <w:t>2</w:t>
            </w:r>
            <w:r>
              <w:rPr>
                <w:rFonts w:hint="eastAsia" w:ascii="宋体" w:hAnsi="宋体" w:eastAsia="宋体"/>
                <w:b w:val="0"/>
                <w:bCs w:val="0"/>
                <w:color w:val="auto"/>
                <w:sz w:val="21"/>
                <w:szCs w:val="21"/>
              </w:rPr>
              <w:t>分。</w:t>
            </w:r>
          </w:p>
        </w:tc>
        <w:tc>
          <w:tcPr>
            <w:tcW w:w="947" w:type="dxa"/>
            <w:vMerge w:val="continue"/>
            <w:vAlign w:val="center"/>
          </w:tcPr>
          <w:p>
            <w:pPr>
              <w:spacing w:line="240" w:lineRule="auto"/>
              <w:ind w:firstLine="0" w:firstLineChars="0"/>
              <w:jc w:val="center"/>
              <w:rPr>
                <w:rFonts w:ascii="宋体" w:hAnsi="宋体" w:eastAsia="宋体"/>
                <w:sz w:val="21"/>
                <w:szCs w:val="21"/>
              </w:rPr>
            </w:pPr>
          </w:p>
        </w:tc>
        <w:tc>
          <w:tcPr>
            <w:tcW w:w="1200" w:type="dxa"/>
            <w:vAlign w:val="center"/>
          </w:tcPr>
          <w:p>
            <w:pPr>
              <w:spacing w:line="240" w:lineRule="auto"/>
              <w:ind w:firstLine="0" w:firstLineChars="0"/>
              <w:jc w:val="center"/>
              <w:rPr>
                <w:rFonts w:ascii="宋体" w:hAnsi="宋体" w:eastAsia="宋体"/>
                <w:sz w:val="21"/>
                <w:szCs w:val="21"/>
              </w:rPr>
            </w:pPr>
          </w:p>
        </w:tc>
        <w:tc>
          <w:tcPr>
            <w:tcW w:w="1200" w:type="dxa"/>
            <w:vMerge w:val="continue"/>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continue"/>
            <w:vAlign w:val="center"/>
          </w:tcPr>
          <w:p>
            <w:pPr>
              <w:spacing w:line="240" w:lineRule="auto"/>
              <w:ind w:firstLine="0" w:firstLineChars="0"/>
              <w:jc w:val="center"/>
              <w:rPr>
                <w:rFonts w:ascii="宋体" w:hAnsi="宋体" w:eastAsia="宋体"/>
                <w:bCs/>
                <w:sz w:val="21"/>
                <w:szCs w:val="21"/>
              </w:rPr>
            </w:pPr>
          </w:p>
        </w:tc>
        <w:tc>
          <w:tcPr>
            <w:tcW w:w="5640" w:type="dxa"/>
            <w:gridSpan w:val="6"/>
            <w:tcBorders>
              <w:left w:val="single" w:color="auto" w:sz="4" w:space="0"/>
            </w:tcBorders>
            <w:vAlign w:val="center"/>
          </w:tcPr>
          <w:p>
            <w:pPr>
              <w:pStyle w:val="8"/>
              <w:spacing w:line="240" w:lineRule="auto"/>
              <w:jc w:val="left"/>
              <w:rPr>
                <w:rFonts w:ascii="宋体" w:hAnsi="宋体"/>
                <w:b w:val="0"/>
                <w:bCs w:val="0"/>
                <w:color w:val="auto"/>
                <w:szCs w:val="21"/>
              </w:rPr>
            </w:pPr>
            <w:r>
              <w:rPr>
                <w:rFonts w:hint="eastAsia" w:ascii="宋体" w:hAnsi="宋体"/>
                <w:b w:val="0"/>
                <w:bCs w:val="0"/>
                <w:color w:val="auto"/>
                <w:szCs w:val="21"/>
              </w:rPr>
              <w:t>比赛过程中未关闭车门扣</w:t>
            </w:r>
            <w:r>
              <w:rPr>
                <w:rFonts w:ascii="宋体" w:hAnsi="宋体"/>
                <w:b w:val="0"/>
                <w:bCs w:val="0"/>
                <w:color w:val="auto"/>
                <w:szCs w:val="21"/>
              </w:rPr>
              <w:t>2</w:t>
            </w:r>
            <w:r>
              <w:rPr>
                <w:rFonts w:hint="eastAsia" w:ascii="宋体" w:hAnsi="宋体"/>
                <w:b w:val="0"/>
                <w:bCs w:val="0"/>
                <w:color w:val="auto"/>
                <w:szCs w:val="21"/>
              </w:rPr>
              <w:t>分。</w:t>
            </w:r>
          </w:p>
        </w:tc>
        <w:tc>
          <w:tcPr>
            <w:tcW w:w="947" w:type="dxa"/>
            <w:vMerge w:val="continue"/>
            <w:vAlign w:val="center"/>
          </w:tcPr>
          <w:p>
            <w:pPr>
              <w:spacing w:line="240" w:lineRule="auto"/>
              <w:ind w:firstLine="0" w:firstLineChars="0"/>
              <w:jc w:val="center"/>
              <w:rPr>
                <w:rFonts w:ascii="宋体" w:hAnsi="宋体" w:eastAsia="宋体"/>
                <w:sz w:val="21"/>
                <w:szCs w:val="21"/>
              </w:rPr>
            </w:pPr>
          </w:p>
        </w:tc>
        <w:tc>
          <w:tcPr>
            <w:tcW w:w="1200" w:type="dxa"/>
            <w:vAlign w:val="center"/>
          </w:tcPr>
          <w:p>
            <w:pPr>
              <w:spacing w:line="240" w:lineRule="auto"/>
              <w:ind w:firstLine="0" w:firstLineChars="0"/>
              <w:jc w:val="center"/>
              <w:rPr>
                <w:rFonts w:ascii="宋体" w:hAnsi="宋体" w:eastAsia="宋体"/>
                <w:sz w:val="21"/>
                <w:szCs w:val="21"/>
              </w:rPr>
            </w:pPr>
          </w:p>
        </w:tc>
        <w:tc>
          <w:tcPr>
            <w:tcW w:w="1200" w:type="dxa"/>
            <w:vMerge w:val="continue"/>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continue"/>
            <w:vAlign w:val="center"/>
          </w:tcPr>
          <w:p>
            <w:pPr>
              <w:spacing w:line="240" w:lineRule="auto"/>
              <w:ind w:firstLine="0" w:firstLineChars="0"/>
              <w:jc w:val="center"/>
              <w:rPr>
                <w:rFonts w:ascii="宋体" w:hAnsi="宋体" w:eastAsia="宋体"/>
                <w:bCs/>
                <w:sz w:val="21"/>
                <w:szCs w:val="21"/>
              </w:rPr>
            </w:pPr>
          </w:p>
        </w:tc>
        <w:tc>
          <w:tcPr>
            <w:tcW w:w="5640" w:type="dxa"/>
            <w:gridSpan w:val="6"/>
            <w:tcBorders>
              <w:left w:val="single" w:color="auto" w:sz="4" w:space="0"/>
            </w:tcBorders>
            <w:vAlign w:val="center"/>
          </w:tcPr>
          <w:p>
            <w:pPr>
              <w:pStyle w:val="8"/>
              <w:spacing w:line="240" w:lineRule="auto"/>
              <w:jc w:val="left"/>
              <w:rPr>
                <w:rFonts w:ascii="宋体" w:hAnsi="宋体"/>
                <w:b w:val="0"/>
                <w:bCs w:val="0"/>
                <w:color w:val="auto"/>
                <w:szCs w:val="21"/>
              </w:rPr>
            </w:pPr>
            <w:r>
              <w:rPr>
                <w:rFonts w:hint="eastAsia" w:ascii="宋体" w:hAnsi="宋体"/>
                <w:b w:val="0"/>
                <w:bCs w:val="0"/>
                <w:color w:val="auto"/>
                <w:szCs w:val="21"/>
              </w:rPr>
              <w:t>挖斗放置越线扣</w:t>
            </w:r>
            <w:r>
              <w:rPr>
                <w:rFonts w:ascii="宋体" w:hAnsi="宋体"/>
                <w:b w:val="0"/>
                <w:bCs w:val="0"/>
                <w:color w:val="auto"/>
                <w:szCs w:val="21"/>
              </w:rPr>
              <w:t>3</w:t>
            </w:r>
            <w:r>
              <w:rPr>
                <w:rFonts w:hint="eastAsia" w:ascii="宋体" w:hAnsi="宋体"/>
                <w:b w:val="0"/>
                <w:bCs w:val="0"/>
                <w:color w:val="auto"/>
                <w:szCs w:val="21"/>
              </w:rPr>
              <w:t>分。（以铲板垂直线是否出界为依据）</w:t>
            </w:r>
          </w:p>
        </w:tc>
        <w:tc>
          <w:tcPr>
            <w:tcW w:w="947" w:type="dxa"/>
            <w:vMerge w:val="continue"/>
            <w:vAlign w:val="center"/>
          </w:tcPr>
          <w:p>
            <w:pPr>
              <w:spacing w:line="240" w:lineRule="auto"/>
              <w:ind w:firstLine="0" w:firstLineChars="0"/>
              <w:jc w:val="center"/>
              <w:rPr>
                <w:rFonts w:ascii="宋体" w:hAnsi="宋体" w:eastAsia="宋体"/>
                <w:sz w:val="21"/>
                <w:szCs w:val="21"/>
              </w:rPr>
            </w:pPr>
          </w:p>
        </w:tc>
        <w:tc>
          <w:tcPr>
            <w:tcW w:w="1200" w:type="dxa"/>
            <w:vAlign w:val="center"/>
          </w:tcPr>
          <w:p>
            <w:pPr>
              <w:spacing w:line="240" w:lineRule="auto"/>
              <w:ind w:firstLine="0" w:firstLineChars="0"/>
              <w:jc w:val="center"/>
              <w:rPr>
                <w:rFonts w:ascii="宋体" w:hAnsi="宋体" w:eastAsia="宋体"/>
                <w:sz w:val="21"/>
                <w:szCs w:val="21"/>
              </w:rPr>
            </w:pPr>
          </w:p>
        </w:tc>
        <w:tc>
          <w:tcPr>
            <w:tcW w:w="1200" w:type="dxa"/>
            <w:vMerge w:val="continue"/>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restart"/>
            <w:vAlign w:val="center"/>
          </w:tcPr>
          <w:p>
            <w:pPr>
              <w:pStyle w:val="8"/>
              <w:spacing w:line="240" w:lineRule="auto"/>
              <w:jc w:val="center"/>
              <w:rPr>
                <w:rFonts w:ascii="宋体" w:hAnsi="宋体"/>
                <w:szCs w:val="21"/>
              </w:rPr>
            </w:pPr>
            <w:r>
              <w:rPr>
                <w:rFonts w:hint="eastAsia" w:ascii="宋体" w:hAnsi="宋体"/>
                <w:szCs w:val="21"/>
              </w:rPr>
              <w:t>同心同德</w:t>
            </w:r>
          </w:p>
        </w:tc>
        <w:tc>
          <w:tcPr>
            <w:tcW w:w="5640" w:type="dxa"/>
            <w:gridSpan w:val="6"/>
            <w:tcBorders>
              <w:left w:val="single" w:color="auto" w:sz="4" w:space="0"/>
            </w:tcBorders>
            <w:vAlign w:val="center"/>
          </w:tcPr>
          <w:p>
            <w:pPr>
              <w:pStyle w:val="8"/>
              <w:spacing w:line="240" w:lineRule="auto"/>
              <w:jc w:val="left"/>
              <w:rPr>
                <w:rFonts w:ascii="宋体" w:hAnsi="宋体"/>
                <w:b w:val="0"/>
                <w:bCs w:val="0"/>
                <w:color w:val="auto"/>
                <w:szCs w:val="21"/>
              </w:rPr>
            </w:pPr>
            <w:r>
              <w:rPr>
                <w:rFonts w:hint="eastAsia" w:ascii="宋体" w:hAnsi="宋体"/>
                <w:b w:val="0"/>
                <w:bCs w:val="0"/>
                <w:color w:val="auto"/>
                <w:szCs w:val="21"/>
              </w:rPr>
              <w:t>道具架移位压线，扣5分。</w:t>
            </w:r>
          </w:p>
        </w:tc>
        <w:tc>
          <w:tcPr>
            <w:tcW w:w="947" w:type="dxa"/>
            <w:vMerge w:val="restart"/>
            <w:vAlign w:val="center"/>
          </w:tcPr>
          <w:p>
            <w:pPr>
              <w:adjustRightInd/>
              <w:spacing w:line="240" w:lineRule="auto"/>
              <w:ind w:firstLine="0" w:firstLineChars="0"/>
              <w:jc w:val="center"/>
              <w:rPr>
                <w:rFonts w:ascii="宋体" w:hAnsi="宋体" w:eastAsia="宋体"/>
                <w:sz w:val="21"/>
                <w:szCs w:val="21"/>
              </w:rPr>
            </w:pPr>
            <w:r>
              <w:rPr>
                <w:rFonts w:ascii="宋体" w:hAnsi="宋体" w:eastAsia="宋体"/>
                <w:sz w:val="21"/>
                <w:szCs w:val="21"/>
              </w:rPr>
              <w:t>25</w:t>
            </w:r>
            <w:r>
              <w:rPr>
                <w:rFonts w:hint="eastAsia" w:ascii="宋体" w:hAnsi="宋体" w:eastAsia="宋体"/>
                <w:sz w:val="21"/>
                <w:szCs w:val="21"/>
              </w:rPr>
              <w:t>分</w:t>
            </w:r>
          </w:p>
        </w:tc>
        <w:tc>
          <w:tcPr>
            <w:tcW w:w="1200" w:type="dxa"/>
            <w:vAlign w:val="center"/>
          </w:tcPr>
          <w:p>
            <w:pPr>
              <w:spacing w:line="240" w:lineRule="auto"/>
              <w:ind w:firstLine="0" w:firstLineChars="0"/>
              <w:jc w:val="left"/>
              <w:rPr>
                <w:rFonts w:ascii="宋体" w:hAnsi="宋体" w:eastAsia="宋体"/>
                <w:sz w:val="21"/>
                <w:szCs w:val="21"/>
              </w:rPr>
            </w:pPr>
          </w:p>
        </w:tc>
        <w:tc>
          <w:tcPr>
            <w:tcW w:w="1200" w:type="dxa"/>
            <w:vMerge w:val="restart"/>
            <w:vAlign w:val="center"/>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continue"/>
            <w:vAlign w:val="center"/>
          </w:tcPr>
          <w:p>
            <w:pPr>
              <w:pStyle w:val="8"/>
              <w:spacing w:line="240" w:lineRule="auto"/>
              <w:jc w:val="center"/>
              <w:rPr>
                <w:rFonts w:ascii="宋体" w:hAnsi="宋体"/>
                <w:szCs w:val="21"/>
              </w:rPr>
            </w:pPr>
          </w:p>
        </w:tc>
        <w:tc>
          <w:tcPr>
            <w:tcW w:w="5640" w:type="dxa"/>
            <w:gridSpan w:val="6"/>
            <w:tcBorders>
              <w:left w:val="single" w:color="auto" w:sz="4" w:space="0"/>
            </w:tcBorders>
            <w:vAlign w:val="center"/>
          </w:tcPr>
          <w:p>
            <w:pPr>
              <w:pStyle w:val="8"/>
              <w:spacing w:line="240" w:lineRule="auto"/>
              <w:jc w:val="left"/>
              <w:rPr>
                <w:rFonts w:ascii="宋体" w:hAnsi="宋体"/>
                <w:b w:val="0"/>
                <w:bCs w:val="0"/>
                <w:color w:val="auto"/>
                <w:szCs w:val="21"/>
              </w:rPr>
            </w:pPr>
            <w:r>
              <w:rPr>
                <w:rFonts w:hint="eastAsia" w:ascii="宋体" w:hAnsi="宋体"/>
                <w:b w:val="0"/>
                <w:bCs w:val="0"/>
                <w:color w:val="auto"/>
                <w:szCs w:val="21"/>
              </w:rPr>
              <w:t>挖斗属具触碰内外圈及支座产生金属碰触报警，每次扣</w:t>
            </w:r>
            <w:r>
              <w:rPr>
                <w:rFonts w:ascii="宋体" w:hAnsi="宋体"/>
                <w:b w:val="0"/>
                <w:bCs w:val="0"/>
                <w:color w:val="auto"/>
                <w:szCs w:val="21"/>
              </w:rPr>
              <w:t>1</w:t>
            </w:r>
            <w:r>
              <w:rPr>
                <w:rFonts w:hint="eastAsia" w:ascii="宋体" w:hAnsi="宋体"/>
                <w:b w:val="0"/>
                <w:bCs w:val="0"/>
                <w:color w:val="auto"/>
                <w:szCs w:val="21"/>
              </w:rPr>
              <w:t>分。</w:t>
            </w:r>
          </w:p>
        </w:tc>
        <w:tc>
          <w:tcPr>
            <w:tcW w:w="947" w:type="dxa"/>
            <w:vMerge w:val="continue"/>
            <w:vAlign w:val="center"/>
          </w:tcPr>
          <w:p>
            <w:pPr>
              <w:adjustRightInd/>
              <w:spacing w:line="240" w:lineRule="auto"/>
              <w:ind w:firstLine="0" w:firstLineChars="0"/>
              <w:jc w:val="center"/>
              <w:rPr>
                <w:rFonts w:ascii="宋体" w:hAnsi="宋体" w:eastAsia="宋体"/>
                <w:sz w:val="21"/>
                <w:szCs w:val="21"/>
              </w:rPr>
            </w:pPr>
          </w:p>
        </w:tc>
        <w:tc>
          <w:tcPr>
            <w:tcW w:w="1200" w:type="dxa"/>
            <w:vAlign w:val="center"/>
          </w:tcPr>
          <w:p>
            <w:pPr>
              <w:spacing w:line="240" w:lineRule="auto"/>
              <w:ind w:firstLine="0" w:firstLineChars="0"/>
              <w:jc w:val="left"/>
              <w:rPr>
                <w:rFonts w:ascii="宋体" w:hAnsi="宋体" w:eastAsia="宋体"/>
                <w:sz w:val="21"/>
                <w:szCs w:val="21"/>
              </w:rPr>
            </w:pPr>
          </w:p>
        </w:tc>
        <w:tc>
          <w:tcPr>
            <w:tcW w:w="1200" w:type="dxa"/>
            <w:vMerge w:val="continue"/>
            <w:vAlign w:val="center"/>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restart"/>
            <w:vAlign w:val="center"/>
          </w:tcPr>
          <w:p>
            <w:pPr>
              <w:pStyle w:val="8"/>
              <w:spacing w:line="240" w:lineRule="auto"/>
              <w:jc w:val="center"/>
              <w:rPr>
                <w:rFonts w:ascii="宋体" w:hAnsi="宋体"/>
                <w:snapToGrid/>
                <w:kern w:val="2"/>
                <w:szCs w:val="21"/>
              </w:rPr>
            </w:pPr>
            <w:r>
              <w:rPr>
                <w:rFonts w:hint="eastAsia" w:ascii="宋体" w:hAnsi="宋体"/>
                <w:snapToGrid/>
                <w:kern w:val="2"/>
                <w:szCs w:val="21"/>
              </w:rPr>
              <w:t>举杯欢庆</w:t>
            </w:r>
          </w:p>
        </w:tc>
        <w:tc>
          <w:tcPr>
            <w:tcW w:w="5640" w:type="dxa"/>
            <w:gridSpan w:val="6"/>
            <w:tcBorders>
              <w:left w:val="single" w:color="auto" w:sz="4" w:space="0"/>
            </w:tcBorders>
            <w:vAlign w:val="center"/>
          </w:tcPr>
          <w:p>
            <w:pPr>
              <w:pStyle w:val="8"/>
              <w:spacing w:line="240" w:lineRule="auto"/>
              <w:jc w:val="left"/>
              <w:rPr>
                <w:rFonts w:ascii="宋体" w:hAnsi="宋体"/>
                <w:b w:val="0"/>
                <w:bCs w:val="0"/>
                <w:color w:val="auto"/>
                <w:szCs w:val="21"/>
              </w:rPr>
            </w:pPr>
            <w:r>
              <w:rPr>
                <w:rFonts w:hint="eastAsia" w:ascii="宋体" w:hAnsi="宋体"/>
                <w:b w:val="0"/>
                <w:bCs w:val="0"/>
                <w:color w:val="auto"/>
                <w:szCs w:val="21"/>
              </w:rPr>
              <w:t>船舶模型移位压线，扣5分。</w:t>
            </w:r>
          </w:p>
        </w:tc>
        <w:tc>
          <w:tcPr>
            <w:tcW w:w="947" w:type="dxa"/>
            <w:vMerge w:val="restart"/>
            <w:vAlign w:val="center"/>
          </w:tcPr>
          <w:p>
            <w:pPr>
              <w:adjustRightInd/>
              <w:spacing w:line="240" w:lineRule="auto"/>
              <w:ind w:firstLine="0" w:firstLineChars="0"/>
              <w:jc w:val="center"/>
              <w:rPr>
                <w:rFonts w:ascii="宋体" w:hAnsi="宋体" w:eastAsia="宋体"/>
                <w:bCs/>
                <w:snapToGrid/>
                <w:kern w:val="2"/>
                <w:sz w:val="21"/>
                <w:szCs w:val="21"/>
              </w:rPr>
            </w:pPr>
            <w:r>
              <w:rPr>
                <w:rFonts w:ascii="宋体" w:hAnsi="宋体" w:eastAsia="宋体"/>
                <w:bCs/>
                <w:snapToGrid/>
                <w:kern w:val="2"/>
                <w:sz w:val="21"/>
                <w:szCs w:val="21"/>
              </w:rPr>
              <w:t>25</w:t>
            </w:r>
            <w:r>
              <w:rPr>
                <w:rFonts w:hint="eastAsia" w:ascii="宋体" w:hAnsi="宋体" w:eastAsia="宋体"/>
                <w:bCs/>
                <w:snapToGrid/>
                <w:kern w:val="2"/>
                <w:sz w:val="21"/>
                <w:szCs w:val="21"/>
              </w:rPr>
              <w:t>分</w:t>
            </w:r>
          </w:p>
        </w:tc>
        <w:tc>
          <w:tcPr>
            <w:tcW w:w="1200" w:type="dxa"/>
            <w:vAlign w:val="center"/>
          </w:tcPr>
          <w:p>
            <w:pPr>
              <w:spacing w:line="240" w:lineRule="auto"/>
              <w:ind w:firstLine="0" w:firstLineChars="0"/>
              <w:jc w:val="left"/>
              <w:rPr>
                <w:rFonts w:ascii="宋体" w:hAnsi="宋体" w:eastAsia="宋体"/>
                <w:sz w:val="21"/>
                <w:szCs w:val="21"/>
              </w:rPr>
            </w:pPr>
          </w:p>
        </w:tc>
        <w:tc>
          <w:tcPr>
            <w:tcW w:w="1200" w:type="dxa"/>
            <w:vMerge w:val="restart"/>
            <w:vAlign w:val="center"/>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continue"/>
            <w:vAlign w:val="center"/>
          </w:tcPr>
          <w:p>
            <w:pPr>
              <w:pStyle w:val="8"/>
              <w:spacing w:line="240" w:lineRule="auto"/>
              <w:jc w:val="center"/>
              <w:rPr>
                <w:rFonts w:ascii="宋体" w:hAnsi="宋体"/>
                <w:snapToGrid/>
                <w:kern w:val="2"/>
                <w:szCs w:val="21"/>
              </w:rPr>
            </w:pPr>
          </w:p>
        </w:tc>
        <w:tc>
          <w:tcPr>
            <w:tcW w:w="5640" w:type="dxa"/>
            <w:gridSpan w:val="6"/>
            <w:tcBorders>
              <w:left w:val="single" w:color="auto" w:sz="4" w:space="0"/>
            </w:tcBorders>
            <w:vAlign w:val="center"/>
          </w:tcPr>
          <w:p>
            <w:pPr>
              <w:pStyle w:val="8"/>
              <w:spacing w:line="240" w:lineRule="auto"/>
              <w:jc w:val="left"/>
              <w:rPr>
                <w:rFonts w:ascii="宋体" w:hAnsi="宋体"/>
                <w:b w:val="0"/>
                <w:bCs w:val="0"/>
                <w:color w:val="auto"/>
                <w:szCs w:val="21"/>
              </w:rPr>
            </w:pPr>
            <w:r>
              <w:rPr>
                <w:rFonts w:hint="eastAsia" w:ascii="宋体" w:hAnsi="宋体"/>
                <w:b w:val="0"/>
                <w:bCs w:val="0"/>
                <w:color w:val="auto"/>
                <w:szCs w:val="21"/>
              </w:rPr>
              <w:t>酒杯移位出线，每个扣2分。</w:t>
            </w:r>
          </w:p>
        </w:tc>
        <w:tc>
          <w:tcPr>
            <w:tcW w:w="947" w:type="dxa"/>
            <w:vMerge w:val="continue"/>
            <w:vAlign w:val="center"/>
          </w:tcPr>
          <w:p>
            <w:pPr>
              <w:adjustRightInd/>
              <w:spacing w:line="240" w:lineRule="auto"/>
              <w:ind w:firstLine="0" w:firstLineChars="0"/>
              <w:jc w:val="center"/>
              <w:rPr>
                <w:rFonts w:ascii="宋体" w:hAnsi="宋体" w:eastAsia="宋体"/>
                <w:bCs/>
                <w:snapToGrid/>
                <w:kern w:val="2"/>
                <w:sz w:val="21"/>
                <w:szCs w:val="21"/>
              </w:rPr>
            </w:pPr>
          </w:p>
        </w:tc>
        <w:tc>
          <w:tcPr>
            <w:tcW w:w="1200" w:type="dxa"/>
            <w:vAlign w:val="center"/>
          </w:tcPr>
          <w:p>
            <w:pPr>
              <w:spacing w:line="240" w:lineRule="auto"/>
              <w:ind w:firstLine="0" w:firstLineChars="0"/>
              <w:jc w:val="left"/>
              <w:rPr>
                <w:rFonts w:ascii="宋体" w:hAnsi="宋体" w:eastAsia="宋体"/>
                <w:sz w:val="21"/>
                <w:szCs w:val="21"/>
              </w:rPr>
            </w:pPr>
          </w:p>
        </w:tc>
        <w:tc>
          <w:tcPr>
            <w:tcW w:w="1200" w:type="dxa"/>
            <w:vMerge w:val="continue"/>
            <w:vAlign w:val="center"/>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continue"/>
            <w:vAlign w:val="center"/>
          </w:tcPr>
          <w:p>
            <w:pPr>
              <w:pStyle w:val="8"/>
              <w:spacing w:line="240" w:lineRule="auto"/>
              <w:jc w:val="center"/>
              <w:rPr>
                <w:rFonts w:ascii="宋体" w:hAnsi="宋体"/>
                <w:snapToGrid/>
                <w:kern w:val="2"/>
                <w:szCs w:val="21"/>
              </w:rPr>
            </w:pPr>
          </w:p>
        </w:tc>
        <w:tc>
          <w:tcPr>
            <w:tcW w:w="5640" w:type="dxa"/>
            <w:gridSpan w:val="6"/>
            <w:tcBorders>
              <w:left w:val="single" w:color="auto" w:sz="4" w:space="0"/>
            </w:tcBorders>
            <w:vAlign w:val="center"/>
          </w:tcPr>
          <w:p>
            <w:pPr>
              <w:pStyle w:val="8"/>
              <w:spacing w:line="240" w:lineRule="auto"/>
              <w:jc w:val="left"/>
              <w:rPr>
                <w:rStyle w:val="17"/>
                <w:rFonts w:ascii="宋体" w:hAnsi="宋体" w:cs="宋体"/>
                <w:b w:val="0"/>
                <w:bCs w:val="0"/>
                <w:color w:val="auto"/>
                <w:szCs w:val="21"/>
              </w:rPr>
            </w:pPr>
            <w:r>
              <w:rPr>
                <w:rFonts w:hint="eastAsia" w:ascii="宋体" w:hAnsi="宋体"/>
                <w:b w:val="0"/>
                <w:bCs w:val="0"/>
                <w:color w:val="auto"/>
                <w:szCs w:val="21"/>
              </w:rPr>
              <w:t>酒杯桌移位压线，扣5分。</w:t>
            </w:r>
          </w:p>
        </w:tc>
        <w:tc>
          <w:tcPr>
            <w:tcW w:w="947" w:type="dxa"/>
            <w:vMerge w:val="continue"/>
            <w:vAlign w:val="center"/>
          </w:tcPr>
          <w:p>
            <w:pPr>
              <w:adjustRightInd/>
              <w:spacing w:line="240" w:lineRule="auto"/>
              <w:ind w:firstLine="0" w:firstLineChars="0"/>
              <w:jc w:val="center"/>
              <w:rPr>
                <w:rFonts w:ascii="宋体" w:hAnsi="宋体" w:eastAsia="宋体"/>
                <w:bCs/>
                <w:snapToGrid/>
                <w:kern w:val="2"/>
                <w:sz w:val="21"/>
                <w:szCs w:val="21"/>
              </w:rPr>
            </w:pPr>
          </w:p>
        </w:tc>
        <w:tc>
          <w:tcPr>
            <w:tcW w:w="1200" w:type="dxa"/>
            <w:vAlign w:val="center"/>
          </w:tcPr>
          <w:p>
            <w:pPr>
              <w:spacing w:line="240" w:lineRule="auto"/>
              <w:ind w:firstLine="0" w:firstLineChars="0"/>
              <w:jc w:val="left"/>
              <w:rPr>
                <w:rFonts w:ascii="宋体" w:hAnsi="宋体" w:eastAsia="宋体"/>
                <w:sz w:val="21"/>
                <w:szCs w:val="21"/>
              </w:rPr>
            </w:pPr>
          </w:p>
        </w:tc>
        <w:tc>
          <w:tcPr>
            <w:tcW w:w="1200" w:type="dxa"/>
            <w:vMerge w:val="continue"/>
            <w:vAlign w:val="center"/>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continue"/>
            <w:vAlign w:val="center"/>
          </w:tcPr>
          <w:p>
            <w:pPr>
              <w:pStyle w:val="8"/>
              <w:spacing w:line="240" w:lineRule="auto"/>
              <w:jc w:val="center"/>
              <w:rPr>
                <w:rFonts w:ascii="宋体" w:hAnsi="宋体"/>
                <w:snapToGrid/>
                <w:kern w:val="2"/>
                <w:szCs w:val="21"/>
              </w:rPr>
            </w:pPr>
          </w:p>
        </w:tc>
        <w:tc>
          <w:tcPr>
            <w:tcW w:w="4420" w:type="dxa"/>
            <w:gridSpan w:val="4"/>
            <w:tcBorders>
              <w:left w:val="single" w:color="auto" w:sz="4" w:space="0"/>
            </w:tcBorders>
            <w:vAlign w:val="center"/>
          </w:tcPr>
          <w:p>
            <w:pPr>
              <w:pStyle w:val="8"/>
              <w:spacing w:line="240" w:lineRule="auto"/>
              <w:rPr>
                <w:rFonts w:hint="eastAsia" w:ascii="宋体" w:hAnsi="宋体"/>
                <w:b w:val="0"/>
                <w:bCs w:val="0"/>
                <w:color w:val="auto"/>
                <w:szCs w:val="21"/>
              </w:rPr>
            </w:pPr>
            <w:r>
              <w:rPr>
                <w:rFonts w:hint="eastAsia" w:ascii="宋体" w:hAnsi="宋体" w:cs="宋体"/>
                <w:b w:val="0"/>
                <w:bCs w:val="0"/>
                <w:color w:val="auto"/>
                <w:szCs w:val="21"/>
              </w:rPr>
              <w:t>按三个酒杯的最终液体总容量进行分数考核，液体容量总和以</w:t>
            </w:r>
            <w:r>
              <w:rPr>
                <w:rFonts w:ascii="宋体" w:hAnsi="宋体" w:cs="宋体"/>
                <w:b w:val="0"/>
                <w:bCs w:val="0"/>
                <w:color w:val="auto"/>
                <w:szCs w:val="21"/>
              </w:rPr>
              <w:t>240</w:t>
            </w:r>
            <w:r>
              <w:rPr>
                <w:rFonts w:hint="eastAsia" w:ascii="宋体" w:hAnsi="宋体" w:cs="宋体"/>
                <w:b w:val="0"/>
                <w:bCs w:val="0"/>
                <w:color w:val="auto"/>
                <w:szCs w:val="21"/>
              </w:rPr>
              <w:t>ml为基准，大于等于</w:t>
            </w:r>
            <w:r>
              <w:rPr>
                <w:rFonts w:ascii="宋体" w:hAnsi="宋体" w:cs="宋体"/>
                <w:b w:val="0"/>
                <w:bCs w:val="0"/>
                <w:color w:val="auto"/>
                <w:szCs w:val="21"/>
              </w:rPr>
              <w:t>240</w:t>
            </w:r>
            <w:r>
              <w:rPr>
                <w:rFonts w:hint="eastAsia" w:ascii="宋体" w:hAnsi="宋体" w:cs="宋体"/>
                <w:b w:val="0"/>
                <w:bCs w:val="0"/>
                <w:color w:val="auto"/>
                <w:szCs w:val="21"/>
              </w:rPr>
              <w:t>ml不扣分，每少10ml扣2分，不足10ml，按10ml计算；不足240</w:t>
            </w:r>
            <w:r>
              <w:rPr>
                <w:rFonts w:ascii="宋体" w:hAnsi="宋体" w:cs="宋体"/>
                <w:b w:val="0"/>
                <w:bCs w:val="0"/>
                <w:color w:val="auto"/>
                <w:szCs w:val="21"/>
              </w:rPr>
              <w:t>ml时，以精度电子秤称重量计算，每少</w:t>
            </w:r>
            <w:r>
              <w:rPr>
                <w:rFonts w:hint="eastAsia" w:ascii="宋体" w:hAnsi="宋体" w:cs="宋体"/>
                <w:b w:val="0"/>
                <w:bCs w:val="0"/>
                <w:color w:val="auto"/>
                <w:szCs w:val="21"/>
              </w:rPr>
              <w:t>10ml</w:t>
            </w:r>
            <w:r>
              <w:rPr>
                <w:rFonts w:ascii="宋体" w:hAnsi="宋体" w:cs="宋体"/>
                <w:b w:val="0"/>
                <w:bCs w:val="0"/>
                <w:color w:val="auto"/>
                <w:szCs w:val="21"/>
              </w:rPr>
              <w:t>扣</w:t>
            </w:r>
            <w:r>
              <w:rPr>
                <w:rFonts w:hint="eastAsia" w:ascii="宋体" w:hAnsi="宋体" w:cs="宋体"/>
                <w:b w:val="0"/>
                <w:bCs w:val="0"/>
                <w:color w:val="auto"/>
                <w:szCs w:val="21"/>
              </w:rPr>
              <w:t>2分</w:t>
            </w:r>
            <w:r>
              <w:rPr>
                <w:rFonts w:ascii="宋体" w:hAnsi="宋体" w:cs="宋体"/>
                <w:b w:val="0"/>
                <w:bCs w:val="0"/>
                <w:color w:val="auto"/>
                <w:szCs w:val="21"/>
              </w:rPr>
              <w:t>（</w:t>
            </w:r>
            <w:r>
              <w:rPr>
                <w:rFonts w:hint="eastAsia" w:ascii="宋体" w:hAnsi="宋体" w:cs="宋体"/>
                <w:b w:val="0"/>
                <w:bCs w:val="0"/>
                <w:color w:val="auto"/>
                <w:szCs w:val="21"/>
              </w:rPr>
              <w:t>即10克</w:t>
            </w:r>
            <w:r>
              <w:rPr>
                <w:rFonts w:ascii="宋体" w:hAnsi="宋体" w:cs="宋体"/>
                <w:b w:val="0"/>
                <w:bCs w:val="0"/>
                <w:color w:val="auto"/>
                <w:szCs w:val="21"/>
              </w:rPr>
              <w:t>）</w:t>
            </w:r>
            <w:r>
              <w:rPr>
                <w:rFonts w:hint="eastAsia" w:ascii="宋体" w:hAnsi="宋体" w:cs="宋体"/>
                <w:b w:val="0"/>
                <w:bCs w:val="0"/>
                <w:color w:val="auto"/>
                <w:szCs w:val="21"/>
              </w:rPr>
              <w:t>，</w:t>
            </w:r>
            <w:r>
              <w:rPr>
                <w:rFonts w:ascii="宋体" w:hAnsi="宋体" w:cs="宋体"/>
                <w:b w:val="0"/>
                <w:bCs w:val="0"/>
                <w:color w:val="auto"/>
                <w:szCs w:val="21"/>
              </w:rPr>
              <w:t>不足</w:t>
            </w:r>
            <w:r>
              <w:rPr>
                <w:rFonts w:hint="eastAsia" w:ascii="宋体" w:hAnsi="宋体" w:cs="宋体"/>
                <w:b w:val="0"/>
                <w:bCs w:val="0"/>
                <w:color w:val="auto"/>
                <w:szCs w:val="21"/>
              </w:rPr>
              <w:t>10克</w:t>
            </w:r>
            <w:r>
              <w:rPr>
                <w:rFonts w:ascii="宋体" w:hAnsi="宋体" w:cs="宋体"/>
                <w:b w:val="0"/>
                <w:bCs w:val="0"/>
                <w:color w:val="auto"/>
                <w:szCs w:val="21"/>
              </w:rPr>
              <w:t>，按</w:t>
            </w:r>
            <w:r>
              <w:rPr>
                <w:rFonts w:hint="eastAsia" w:ascii="宋体" w:hAnsi="宋体" w:cs="宋体"/>
                <w:b w:val="0"/>
                <w:bCs w:val="0"/>
                <w:color w:val="auto"/>
                <w:szCs w:val="21"/>
              </w:rPr>
              <w:t>10克</w:t>
            </w:r>
            <w:r>
              <w:rPr>
                <w:rFonts w:ascii="宋体" w:hAnsi="宋体" w:cs="宋体"/>
                <w:b w:val="0"/>
                <w:bCs w:val="0"/>
                <w:color w:val="auto"/>
                <w:szCs w:val="21"/>
              </w:rPr>
              <w:t>计算</w:t>
            </w:r>
            <w:r>
              <w:rPr>
                <w:rFonts w:hint="eastAsia" w:ascii="宋体" w:hAnsi="宋体" w:cs="宋体"/>
                <w:b w:val="0"/>
                <w:bCs w:val="0"/>
                <w:color w:val="auto"/>
                <w:szCs w:val="21"/>
              </w:rPr>
              <w:t>。</w:t>
            </w:r>
          </w:p>
        </w:tc>
        <w:tc>
          <w:tcPr>
            <w:tcW w:w="1220" w:type="dxa"/>
            <w:gridSpan w:val="2"/>
            <w:tcBorders>
              <w:left w:val="single" w:color="auto" w:sz="4" w:space="0"/>
            </w:tcBorders>
            <w:vAlign w:val="center"/>
          </w:tcPr>
          <w:p>
            <w:pPr>
              <w:pStyle w:val="8"/>
              <w:spacing w:line="240" w:lineRule="auto"/>
              <w:jc w:val="left"/>
              <w:rPr>
                <w:rFonts w:ascii="宋体" w:hAnsi="宋体"/>
                <w:b w:val="0"/>
                <w:bCs w:val="0"/>
                <w:color w:val="auto"/>
                <w:szCs w:val="21"/>
              </w:rPr>
            </w:pPr>
            <w:r>
              <w:rPr>
                <w:rFonts w:hint="eastAsia" w:ascii="宋体" w:hAnsi="宋体"/>
                <w:b w:val="0"/>
                <w:bCs w:val="0"/>
                <w:color w:val="auto"/>
                <w:szCs w:val="21"/>
              </w:rPr>
              <w:t>容量：</w:t>
            </w:r>
          </w:p>
        </w:tc>
        <w:tc>
          <w:tcPr>
            <w:tcW w:w="947" w:type="dxa"/>
            <w:vMerge w:val="continue"/>
            <w:vAlign w:val="center"/>
          </w:tcPr>
          <w:p>
            <w:pPr>
              <w:adjustRightInd/>
              <w:spacing w:line="240" w:lineRule="auto"/>
              <w:ind w:firstLine="0" w:firstLineChars="0"/>
              <w:jc w:val="center"/>
              <w:rPr>
                <w:rFonts w:ascii="宋体" w:hAnsi="宋体" w:eastAsia="宋体"/>
                <w:bCs/>
                <w:snapToGrid/>
                <w:kern w:val="2"/>
                <w:sz w:val="21"/>
                <w:szCs w:val="21"/>
              </w:rPr>
            </w:pPr>
          </w:p>
        </w:tc>
        <w:tc>
          <w:tcPr>
            <w:tcW w:w="1200" w:type="dxa"/>
            <w:vAlign w:val="center"/>
          </w:tcPr>
          <w:p>
            <w:pPr>
              <w:spacing w:line="240" w:lineRule="auto"/>
              <w:ind w:firstLine="0" w:firstLineChars="0"/>
              <w:jc w:val="left"/>
              <w:rPr>
                <w:rFonts w:ascii="宋体" w:hAnsi="宋体" w:eastAsia="宋体"/>
                <w:sz w:val="21"/>
                <w:szCs w:val="21"/>
              </w:rPr>
            </w:pPr>
          </w:p>
        </w:tc>
        <w:tc>
          <w:tcPr>
            <w:tcW w:w="1200" w:type="dxa"/>
            <w:vAlign w:val="center"/>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restart"/>
            <w:vAlign w:val="center"/>
          </w:tcPr>
          <w:p>
            <w:pPr>
              <w:spacing w:line="240" w:lineRule="auto"/>
              <w:ind w:firstLine="0" w:firstLineChars="0"/>
              <w:jc w:val="center"/>
              <w:rPr>
                <w:rFonts w:ascii="宋体" w:hAnsi="宋体" w:eastAsia="宋体"/>
                <w:bCs/>
                <w:sz w:val="21"/>
                <w:szCs w:val="21"/>
              </w:rPr>
            </w:pPr>
            <w:r>
              <w:rPr>
                <w:rFonts w:hint="eastAsia" w:ascii="宋体" w:hAnsi="宋体" w:eastAsia="宋体"/>
                <w:bCs/>
                <w:sz w:val="21"/>
                <w:szCs w:val="21"/>
              </w:rPr>
              <w:t>追求卓越</w:t>
            </w:r>
          </w:p>
        </w:tc>
        <w:tc>
          <w:tcPr>
            <w:tcW w:w="5640" w:type="dxa"/>
            <w:gridSpan w:val="6"/>
            <w:tcBorders>
              <w:left w:val="single" w:color="auto" w:sz="4" w:space="0"/>
            </w:tcBorders>
            <w:vAlign w:val="center"/>
          </w:tcPr>
          <w:p>
            <w:pPr>
              <w:pStyle w:val="8"/>
              <w:spacing w:line="240" w:lineRule="auto"/>
              <w:rPr>
                <w:rFonts w:ascii="宋体" w:hAnsi="宋体"/>
                <w:b w:val="0"/>
                <w:bCs w:val="0"/>
                <w:color w:val="auto"/>
                <w:szCs w:val="21"/>
              </w:rPr>
            </w:pPr>
            <w:r>
              <w:rPr>
                <w:rFonts w:hint="eastAsia" w:ascii="宋体" w:hAnsi="宋体"/>
                <w:b w:val="0"/>
                <w:bCs w:val="0"/>
                <w:color w:val="auto"/>
                <w:szCs w:val="21"/>
              </w:rPr>
              <w:t>碰到苹果放置架，每次扣2分。</w:t>
            </w:r>
          </w:p>
        </w:tc>
        <w:tc>
          <w:tcPr>
            <w:tcW w:w="947" w:type="dxa"/>
            <w:vMerge w:val="restart"/>
            <w:vAlign w:val="center"/>
          </w:tcPr>
          <w:p>
            <w:pPr>
              <w:spacing w:line="240" w:lineRule="auto"/>
              <w:ind w:firstLine="0" w:firstLineChars="0"/>
              <w:jc w:val="center"/>
              <w:rPr>
                <w:rFonts w:ascii="宋体" w:hAnsi="宋体" w:eastAsia="宋体"/>
                <w:sz w:val="21"/>
                <w:szCs w:val="21"/>
              </w:rPr>
            </w:pPr>
            <w:r>
              <w:rPr>
                <w:rFonts w:ascii="宋体" w:hAnsi="宋体" w:eastAsia="宋体"/>
                <w:sz w:val="21"/>
                <w:szCs w:val="21"/>
              </w:rPr>
              <w:t>30</w:t>
            </w:r>
            <w:r>
              <w:rPr>
                <w:rFonts w:hint="eastAsia" w:ascii="宋体" w:hAnsi="宋体" w:eastAsia="宋体"/>
                <w:sz w:val="21"/>
                <w:szCs w:val="21"/>
              </w:rPr>
              <w:t>分</w:t>
            </w:r>
          </w:p>
        </w:tc>
        <w:tc>
          <w:tcPr>
            <w:tcW w:w="1200" w:type="dxa"/>
            <w:vAlign w:val="center"/>
          </w:tcPr>
          <w:p>
            <w:pPr>
              <w:spacing w:line="240" w:lineRule="auto"/>
              <w:ind w:firstLine="0" w:firstLineChars="0"/>
              <w:jc w:val="center"/>
              <w:rPr>
                <w:rFonts w:ascii="宋体" w:hAnsi="宋体" w:eastAsia="宋体"/>
                <w:sz w:val="21"/>
                <w:szCs w:val="21"/>
              </w:rPr>
            </w:pPr>
          </w:p>
        </w:tc>
        <w:tc>
          <w:tcPr>
            <w:tcW w:w="1200" w:type="dxa"/>
            <w:vMerge w:val="restart"/>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continue"/>
            <w:vAlign w:val="center"/>
          </w:tcPr>
          <w:p>
            <w:pPr>
              <w:spacing w:line="240" w:lineRule="auto"/>
              <w:ind w:firstLine="0" w:firstLineChars="0"/>
              <w:jc w:val="center"/>
              <w:rPr>
                <w:rFonts w:ascii="宋体" w:hAnsi="宋体" w:eastAsia="宋体"/>
                <w:bCs/>
                <w:sz w:val="21"/>
                <w:szCs w:val="21"/>
              </w:rPr>
            </w:pPr>
          </w:p>
        </w:tc>
        <w:tc>
          <w:tcPr>
            <w:tcW w:w="5640" w:type="dxa"/>
            <w:gridSpan w:val="6"/>
            <w:tcBorders>
              <w:left w:val="single" w:color="auto" w:sz="4" w:space="0"/>
            </w:tcBorders>
            <w:vAlign w:val="center"/>
          </w:tcPr>
          <w:p>
            <w:pPr>
              <w:pStyle w:val="8"/>
              <w:spacing w:line="240" w:lineRule="auto"/>
              <w:rPr>
                <w:rFonts w:ascii="宋体" w:hAnsi="宋体"/>
                <w:b w:val="0"/>
                <w:bCs w:val="0"/>
                <w:color w:val="auto"/>
                <w:szCs w:val="21"/>
              </w:rPr>
            </w:pPr>
            <w:r>
              <w:rPr>
                <w:rFonts w:hint="eastAsia" w:ascii="宋体" w:hAnsi="宋体"/>
                <w:b w:val="0"/>
                <w:bCs w:val="0"/>
                <w:color w:val="auto"/>
                <w:szCs w:val="21"/>
              </w:rPr>
              <w:t>苹果放置架移位，扣5分。</w:t>
            </w:r>
          </w:p>
        </w:tc>
        <w:tc>
          <w:tcPr>
            <w:tcW w:w="947" w:type="dxa"/>
            <w:vMerge w:val="continue"/>
            <w:vAlign w:val="center"/>
          </w:tcPr>
          <w:p>
            <w:pPr>
              <w:spacing w:line="240" w:lineRule="auto"/>
              <w:ind w:firstLine="0" w:firstLineChars="0"/>
              <w:jc w:val="center"/>
              <w:rPr>
                <w:rFonts w:ascii="宋体" w:hAnsi="宋体" w:eastAsia="宋体"/>
                <w:sz w:val="21"/>
                <w:szCs w:val="21"/>
              </w:rPr>
            </w:pPr>
          </w:p>
        </w:tc>
        <w:tc>
          <w:tcPr>
            <w:tcW w:w="1200" w:type="dxa"/>
            <w:vAlign w:val="center"/>
          </w:tcPr>
          <w:p>
            <w:pPr>
              <w:spacing w:line="240" w:lineRule="auto"/>
              <w:ind w:firstLine="0" w:firstLineChars="0"/>
              <w:jc w:val="center"/>
              <w:rPr>
                <w:rFonts w:ascii="宋体" w:hAnsi="宋体" w:eastAsia="宋体"/>
                <w:sz w:val="21"/>
                <w:szCs w:val="21"/>
              </w:rPr>
            </w:pPr>
          </w:p>
        </w:tc>
        <w:tc>
          <w:tcPr>
            <w:tcW w:w="1200" w:type="dxa"/>
            <w:vMerge w:val="continue"/>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continue"/>
            <w:vAlign w:val="center"/>
          </w:tcPr>
          <w:p>
            <w:pPr>
              <w:spacing w:line="240" w:lineRule="auto"/>
              <w:ind w:firstLine="0" w:firstLineChars="0"/>
              <w:jc w:val="center"/>
              <w:rPr>
                <w:rFonts w:ascii="宋体" w:hAnsi="宋体" w:eastAsia="宋体"/>
                <w:bCs/>
                <w:sz w:val="21"/>
                <w:szCs w:val="21"/>
              </w:rPr>
            </w:pPr>
          </w:p>
        </w:tc>
        <w:tc>
          <w:tcPr>
            <w:tcW w:w="5640" w:type="dxa"/>
            <w:gridSpan w:val="6"/>
            <w:tcBorders>
              <w:left w:val="single" w:color="auto" w:sz="4" w:space="0"/>
            </w:tcBorders>
            <w:vAlign w:val="center"/>
          </w:tcPr>
          <w:p>
            <w:pPr>
              <w:pStyle w:val="8"/>
              <w:spacing w:line="240" w:lineRule="auto"/>
              <w:rPr>
                <w:rFonts w:ascii="宋体" w:hAnsi="宋体"/>
                <w:b w:val="0"/>
                <w:bCs w:val="0"/>
                <w:snapToGrid/>
                <w:color w:val="auto"/>
                <w:kern w:val="2"/>
                <w:szCs w:val="21"/>
              </w:rPr>
            </w:pPr>
            <w:r>
              <w:rPr>
                <w:rFonts w:hint="eastAsia" w:ascii="宋体" w:hAnsi="宋体"/>
                <w:b w:val="0"/>
                <w:bCs w:val="0"/>
                <w:color w:val="auto"/>
                <w:szCs w:val="21"/>
              </w:rPr>
              <w:t>苹果没挑起来，每个扣</w:t>
            </w:r>
            <w:r>
              <w:rPr>
                <w:rFonts w:ascii="宋体" w:hAnsi="宋体"/>
                <w:b w:val="0"/>
                <w:bCs w:val="0"/>
                <w:color w:val="auto"/>
                <w:szCs w:val="21"/>
              </w:rPr>
              <w:t>5</w:t>
            </w:r>
            <w:r>
              <w:rPr>
                <w:rFonts w:hint="eastAsia" w:ascii="宋体" w:hAnsi="宋体"/>
                <w:b w:val="0"/>
                <w:bCs w:val="0"/>
                <w:color w:val="auto"/>
                <w:szCs w:val="21"/>
              </w:rPr>
              <w:t>分。</w:t>
            </w:r>
          </w:p>
        </w:tc>
        <w:tc>
          <w:tcPr>
            <w:tcW w:w="947" w:type="dxa"/>
            <w:vMerge w:val="continue"/>
            <w:vAlign w:val="center"/>
          </w:tcPr>
          <w:p>
            <w:pPr>
              <w:spacing w:line="240" w:lineRule="auto"/>
              <w:ind w:firstLine="0" w:firstLineChars="0"/>
              <w:jc w:val="center"/>
              <w:rPr>
                <w:rFonts w:ascii="宋体" w:hAnsi="宋体" w:eastAsia="宋体"/>
                <w:sz w:val="21"/>
                <w:szCs w:val="21"/>
              </w:rPr>
            </w:pPr>
          </w:p>
        </w:tc>
        <w:tc>
          <w:tcPr>
            <w:tcW w:w="1200" w:type="dxa"/>
            <w:vAlign w:val="center"/>
          </w:tcPr>
          <w:p>
            <w:pPr>
              <w:spacing w:line="240" w:lineRule="auto"/>
              <w:ind w:firstLine="0" w:firstLineChars="0"/>
              <w:jc w:val="center"/>
              <w:rPr>
                <w:rFonts w:ascii="宋体" w:hAnsi="宋体" w:eastAsia="宋体"/>
                <w:sz w:val="21"/>
                <w:szCs w:val="21"/>
              </w:rPr>
            </w:pPr>
          </w:p>
        </w:tc>
        <w:tc>
          <w:tcPr>
            <w:tcW w:w="1200" w:type="dxa"/>
            <w:vMerge w:val="continue"/>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continue"/>
            <w:vAlign w:val="center"/>
          </w:tcPr>
          <w:p>
            <w:pPr>
              <w:spacing w:line="240" w:lineRule="auto"/>
              <w:ind w:firstLine="0" w:firstLineChars="0"/>
              <w:jc w:val="center"/>
              <w:rPr>
                <w:rFonts w:ascii="宋体" w:hAnsi="宋体" w:eastAsia="宋体"/>
                <w:bCs/>
                <w:sz w:val="21"/>
                <w:szCs w:val="21"/>
              </w:rPr>
            </w:pPr>
          </w:p>
        </w:tc>
        <w:tc>
          <w:tcPr>
            <w:tcW w:w="5640" w:type="dxa"/>
            <w:gridSpan w:val="6"/>
            <w:tcBorders>
              <w:left w:val="single" w:color="auto" w:sz="4" w:space="0"/>
            </w:tcBorders>
            <w:vAlign w:val="center"/>
          </w:tcPr>
          <w:p>
            <w:pPr>
              <w:pStyle w:val="8"/>
              <w:spacing w:line="240" w:lineRule="auto"/>
              <w:rPr>
                <w:rFonts w:ascii="宋体" w:hAnsi="宋体"/>
                <w:b w:val="0"/>
                <w:bCs w:val="0"/>
                <w:color w:val="auto"/>
                <w:szCs w:val="21"/>
              </w:rPr>
            </w:pPr>
            <w:r>
              <w:rPr>
                <w:rFonts w:hint="eastAsia" w:ascii="宋体" w:hAnsi="宋体"/>
                <w:b w:val="0"/>
                <w:bCs w:val="0"/>
                <w:color w:val="auto"/>
                <w:szCs w:val="21"/>
              </w:rPr>
              <w:t>苹果未放置到酒杯上，每个扣</w:t>
            </w:r>
            <w:r>
              <w:rPr>
                <w:rFonts w:ascii="宋体" w:hAnsi="宋体"/>
                <w:b w:val="0"/>
                <w:bCs w:val="0"/>
                <w:color w:val="auto"/>
                <w:szCs w:val="21"/>
              </w:rPr>
              <w:t>5</w:t>
            </w:r>
            <w:r>
              <w:rPr>
                <w:rFonts w:hint="eastAsia" w:ascii="宋体" w:hAnsi="宋体"/>
                <w:b w:val="0"/>
                <w:bCs w:val="0"/>
                <w:color w:val="auto"/>
                <w:szCs w:val="21"/>
              </w:rPr>
              <w:t>分。</w:t>
            </w:r>
          </w:p>
        </w:tc>
        <w:tc>
          <w:tcPr>
            <w:tcW w:w="947" w:type="dxa"/>
            <w:vMerge w:val="continue"/>
            <w:vAlign w:val="center"/>
          </w:tcPr>
          <w:p>
            <w:pPr>
              <w:spacing w:line="240" w:lineRule="auto"/>
              <w:ind w:firstLine="0" w:firstLineChars="0"/>
              <w:jc w:val="center"/>
              <w:rPr>
                <w:rFonts w:ascii="宋体" w:hAnsi="宋体" w:eastAsia="宋体"/>
                <w:sz w:val="21"/>
                <w:szCs w:val="21"/>
              </w:rPr>
            </w:pPr>
          </w:p>
        </w:tc>
        <w:tc>
          <w:tcPr>
            <w:tcW w:w="1200" w:type="dxa"/>
            <w:vAlign w:val="center"/>
          </w:tcPr>
          <w:p>
            <w:pPr>
              <w:spacing w:line="240" w:lineRule="auto"/>
              <w:ind w:firstLine="0" w:firstLineChars="0"/>
              <w:jc w:val="center"/>
              <w:rPr>
                <w:rFonts w:ascii="宋体" w:hAnsi="宋体" w:eastAsia="宋体"/>
                <w:sz w:val="21"/>
                <w:szCs w:val="21"/>
              </w:rPr>
            </w:pPr>
          </w:p>
        </w:tc>
        <w:tc>
          <w:tcPr>
            <w:tcW w:w="1200" w:type="dxa"/>
            <w:vMerge w:val="continue"/>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Align w:val="center"/>
          </w:tcPr>
          <w:p>
            <w:pPr>
              <w:adjustRightInd/>
              <w:spacing w:line="240" w:lineRule="auto"/>
              <w:ind w:firstLine="0" w:firstLineChars="0"/>
              <w:jc w:val="center"/>
              <w:rPr>
                <w:rFonts w:ascii="宋体" w:hAnsi="宋体" w:eastAsia="宋体"/>
                <w:bCs/>
                <w:sz w:val="21"/>
                <w:szCs w:val="21"/>
              </w:rPr>
            </w:pPr>
            <w:r>
              <w:rPr>
                <w:rFonts w:hint="eastAsia" w:ascii="宋体" w:hAnsi="宋体" w:eastAsia="宋体"/>
                <w:bCs/>
                <w:snapToGrid/>
                <w:kern w:val="2"/>
                <w:sz w:val="21"/>
                <w:szCs w:val="21"/>
              </w:rPr>
              <w:t>比赛时间</w:t>
            </w:r>
          </w:p>
        </w:tc>
        <w:tc>
          <w:tcPr>
            <w:tcW w:w="4420" w:type="dxa"/>
            <w:gridSpan w:val="4"/>
            <w:tcBorders>
              <w:left w:val="single" w:color="auto" w:sz="4" w:space="0"/>
            </w:tcBorders>
            <w:vAlign w:val="center"/>
          </w:tcPr>
          <w:p>
            <w:pPr>
              <w:adjustRightInd/>
              <w:spacing w:line="240" w:lineRule="auto"/>
              <w:ind w:firstLine="0" w:firstLineChars="0"/>
              <w:jc w:val="left"/>
              <w:rPr>
                <w:rFonts w:asciiTheme="minorEastAsia" w:hAnsiTheme="minorEastAsia" w:eastAsiaTheme="minorEastAsia"/>
                <w:bCs/>
                <w:sz w:val="21"/>
                <w:szCs w:val="21"/>
              </w:rPr>
            </w:pPr>
            <w:r>
              <w:rPr>
                <w:rFonts w:hint="eastAsia" w:asciiTheme="minorEastAsia" w:hAnsiTheme="minorEastAsia" w:eastAsiaTheme="minorEastAsia"/>
                <w:bCs/>
                <w:snapToGrid/>
                <w:kern w:val="2"/>
                <w:sz w:val="21"/>
                <w:szCs w:val="21"/>
              </w:rPr>
              <w:t>比赛规定时间1</w:t>
            </w:r>
            <w:r>
              <w:rPr>
                <w:rFonts w:asciiTheme="minorEastAsia" w:hAnsiTheme="minorEastAsia" w:eastAsiaTheme="minorEastAsia"/>
                <w:bCs/>
                <w:snapToGrid/>
                <w:kern w:val="2"/>
                <w:sz w:val="21"/>
                <w:szCs w:val="21"/>
              </w:rPr>
              <w:t>2</w:t>
            </w:r>
            <w:r>
              <w:rPr>
                <w:rFonts w:hint="eastAsia" w:asciiTheme="minorEastAsia" w:hAnsiTheme="minorEastAsia" w:eastAsiaTheme="minorEastAsia"/>
                <w:bCs/>
                <w:snapToGrid/>
                <w:kern w:val="2"/>
                <w:sz w:val="21"/>
                <w:szCs w:val="21"/>
              </w:rPr>
              <w:t>分钟，每超时1秒扣0</w:t>
            </w:r>
            <w:r>
              <w:rPr>
                <w:rFonts w:asciiTheme="minorEastAsia" w:hAnsiTheme="minorEastAsia" w:eastAsiaTheme="minorEastAsia"/>
                <w:bCs/>
                <w:snapToGrid/>
                <w:kern w:val="2"/>
                <w:sz w:val="21"/>
                <w:szCs w:val="21"/>
              </w:rPr>
              <w:t>.05</w:t>
            </w:r>
            <w:r>
              <w:rPr>
                <w:rFonts w:hint="eastAsia" w:asciiTheme="minorEastAsia" w:hAnsiTheme="minorEastAsia" w:eastAsiaTheme="minorEastAsia"/>
                <w:bCs/>
                <w:snapToGrid/>
                <w:kern w:val="2"/>
                <w:sz w:val="21"/>
                <w:szCs w:val="21"/>
              </w:rPr>
              <w:t>分，不足1秒按1秒计算，减分上限为</w:t>
            </w:r>
            <w:r>
              <w:rPr>
                <w:rFonts w:asciiTheme="minorEastAsia" w:hAnsiTheme="minorEastAsia" w:eastAsiaTheme="minorEastAsia"/>
                <w:bCs/>
                <w:snapToGrid/>
                <w:kern w:val="2"/>
                <w:sz w:val="21"/>
                <w:szCs w:val="21"/>
              </w:rPr>
              <w:t>9</w:t>
            </w:r>
            <w:r>
              <w:rPr>
                <w:rFonts w:hint="eastAsia" w:asciiTheme="minorEastAsia" w:hAnsiTheme="minorEastAsia" w:eastAsiaTheme="minorEastAsia"/>
                <w:bCs/>
                <w:snapToGrid/>
                <w:kern w:val="2"/>
                <w:sz w:val="21"/>
                <w:szCs w:val="21"/>
              </w:rPr>
              <w:t>分。</w:t>
            </w:r>
          </w:p>
        </w:tc>
        <w:tc>
          <w:tcPr>
            <w:tcW w:w="1220" w:type="dxa"/>
            <w:gridSpan w:val="2"/>
            <w:tcBorders>
              <w:left w:val="single" w:color="auto" w:sz="4" w:space="0"/>
            </w:tcBorders>
          </w:tcPr>
          <w:p>
            <w:pPr>
              <w:adjustRightInd/>
              <w:spacing w:line="240" w:lineRule="auto"/>
              <w:ind w:firstLine="0" w:firstLineChars="0"/>
              <w:rPr>
                <w:rFonts w:ascii="宋体" w:hAnsi="宋体" w:eastAsia="宋体"/>
                <w:bCs/>
                <w:snapToGrid/>
                <w:kern w:val="2"/>
                <w:sz w:val="21"/>
                <w:szCs w:val="21"/>
              </w:rPr>
            </w:pPr>
            <w:r>
              <w:rPr>
                <w:rFonts w:hint="eastAsia" w:ascii="宋体" w:hAnsi="宋体" w:eastAsia="宋体"/>
                <w:bCs/>
                <w:snapToGrid/>
                <w:kern w:val="2"/>
                <w:sz w:val="21"/>
                <w:szCs w:val="21"/>
              </w:rPr>
              <w:t>用时：</w:t>
            </w:r>
          </w:p>
        </w:tc>
        <w:tc>
          <w:tcPr>
            <w:tcW w:w="947" w:type="dxa"/>
            <w:vAlign w:val="center"/>
          </w:tcPr>
          <w:p>
            <w:pPr>
              <w:adjustRightInd/>
              <w:spacing w:line="240" w:lineRule="auto"/>
              <w:ind w:firstLine="0" w:firstLineChars="0"/>
              <w:jc w:val="center"/>
              <w:rPr>
                <w:rFonts w:ascii="宋体" w:hAnsi="宋体" w:eastAsia="宋体"/>
                <w:sz w:val="21"/>
                <w:szCs w:val="21"/>
              </w:rPr>
            </w:pPr>
            <w:r>
              <w:rPr>
                <w:rFonts w:ascii="宋体" w:hAnsi="宋体" w:eastAsia="宋体"/>
                <w:sz w:val="21"/>
                <w:szCs w:val="21"/>
              </w:rPr>
              <w:t>9</w:t>
            </w:r>
            <w:r>
              <w:rPr>
                <w:rFonts w:hint="eastAsia" w:ascii="宋体" w:hAnsi="宋体" w:eastAsia="宋体"/>
                <w:sz w:val="21"/>
                <w:szCs w:val="21"/>
              </w:rPr>
              <w:t>分</w:t>
            </w:r>
          </w:p>
        </w:tc>
        <w:tc>
          <w:tcPr>
            <w:tcW w:w="1200" w:type="dxa"/>
            <w:vAlign w:val="center"/>
          </w:tcPr>
          <w:p>
            <w:pPr>
              <w:spacing w:line="240" w:lineRule="auto"/>
              <w:ind w:firstLine="0" w:firstLineChars="0"/>
              <w:jc w:val="center"/>
              <w:rPr>
                <w:rFonts w:ascii="宋体" w:hAnsi="宋体" w:eastAsia="宋体"/>
                <w:sz w:val="21"/>
                <w:szCs w:val="21"/>
              </w:rPr>
            </w:pPr>
          </w:p>
        </w:tc>
        <w:tc>
          <w:tcPr>
            <w:tcW w:w="1200" w:type="dxa"/>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restart"/>
            <w:vAlign w:val="center"/>
          </w:tcPr>
          <w:p>
            <w:pPr>
              <w:adjustRightInd/>
              <w:spacing w:line="240" w:lineRule="auto"/>
              <w:ind w:firstLine="210" w:firstLineChars="100"/>
              <w:rPr>
                <w:rFonts w:ascii="宋体" w:hAnsi="宋体" w:eastAsia="宋体"/>
                <w:bCs/>
                <w:snapToGrid/>
                <w:kern w:val="2"/>
                <w:sz w:val="21"/>
                <w:szCs w:val="21"/>
              </w:rPr>
            </w:pPr>
            <w:r>
              <w:rPr>
                <w:rFonts w:hint="eastAsia" w:ascii="宋体" w:hAnsi="宋体" w:eastAsia="宋体"/>
                <w:bCs/>
                <w:snapToGrid/>
                <w:kern w:val="2"/>
                <w:sz w:val="21"/>
                <w:szCs w:val="21"/>
              </w:rPr>
              <w:t>二类成绩</w:t>
            </w:r>
          </w:p>
        </w:tc>
        <w:tc>
          <w:tcPr>
            <w:tcW w:w="5640" w:type="dxa"/>
            <w:gridSpan w:val="6"/>
            <w:tcBorders>
              <w:left w:val="single" w:color="auto" w:sz="4" w:space="0"/>
            </w:tcBorders>
            <w:vAlign w:val="center"/>
          </w:tcPr>
          <w:p>
            <w:pPr>
              <w:spacing w:line="240" w:lineRule="auto"/>
              <w:ind w:firstLine="0" w:firstLineChars="0"/>
              <w:jc w:val="left"/>
              <w:rPr>
                <w:rFonts w:ascii="宋体" w:hAnsi="宋体" w:eastAsia="宋体"/>
                <w:bCs/>
                <w:snapToGrid/>
                <w:kern w:val="2"/>
                <w:sz w:val="21"/>
                <w:szCs w:val="21"/>
              </w:rPr>
            </w:pPr>
            <w:r>
              <w:rPr>
                <w:rStyle w:val="17"/>
                <w:rFonts w:hint="eastAsia" w:ascii="宋体" w:hAnsi="宋体" w:cs="宋体"/>
                <w:szCs w:val="21"/>
              </w:rPr>
              <w:t>比赛项目不完整。</w:t>
            </w:r>
          </w:p>
        </w:tc>
        <w:tc>
          <w:tcPr>
            <w:tcW w:w="3347" w:type="dxa"/>
            <w:gridSpan w:val="3"/>
            <w:vAlign w:val="center"/>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continue"/>
            <w:vAlign w:val="center"/>
          </w:tcPr>
          <w:p>
            <w:pPr>
              <w:adjustRightInd/>
              <w:spacing w:line="240" w:lineRule="auto"/>
              <w:ind w:firstLine="0" w:firstLineChars="0"/>
              <w:jc w:val="center"/>
              <w:rPr>
                <w:rFonts w:ascii="宋体" w:hAnsi="宋体" w:eastAsia="宋体"/>
                <w:b/>
                <w:snapToGrid/>
                <w:kern w:val="2"/>
                <w:sz w:val="21"/>
                <w:szCs w:val="21"/>
              </w:rPr>
            </w:pPr>
          </w:p>
        </w:tc>
        <w:tc>
          <w:tcPr>
            <w:tcW w:w="5640" w:type="dxa"/>
            <w:gridSpan w:val="6"/>
            <w:tcBorders>
              <w:left w:val="single" w:color="auto" w:sz="4" w:space="0"/>
            </w:tcBorders>
            <w:vAlign w:val="center"/>
          </w:tcPr>
          <w:p>
            <w:pPr>
              <w:spacing w:line="240" w:lineRule="auto"/>
              <w:ind w:firstLine="0" w:firstLineChars="0"/>
              <w:jc w:val="left"/>
              <w:rPr>
                <w:rFonts w:ascii="宋体" w:hAnsi="宋体" w:eastAsia="宋体"/>
                <w:bCs/>
                <w:snapToGrid/>
                <w:kern w:val="2"/>
                <w:sz w:val="21"/>
                <w:szCs w:val="21"/>
              </w:rPr>
            </w:pPr>
            <w:r>
              <w:rPr>
                <w:rFonts w:hint="eastAsia" w:ascii="宋体" w:hAnsi="宋体" w:eastAsia="宋体"/>
                <w:bCs/>
                <w:snapToGrid/>
                <w:kern w:val="2"/>
                <w:sz w:val="21"/>
                <w:szCs w:val="21"/>
              </w:rPr>
              <w:t>损坏比赛器材。</w:t>
            </w:r>
          </w:p>
        </w:tc>
        <w:tc>
          <w:tcPr>
            <w:tcW w:w="3347" w:type="dxa"/>
            <w:gridSpan w:val="3"/>
            <w:vAlign w:val="center"/>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continue"/>
            <w:vAlign w:val="center"/>
          </w:tcPr>
          <w:p>
            <w:pPr>
              <w:adjustRightInd/>
              <w:spacing w:line="240" w:lineRule="auto"/>
              <w:ind w:firstLine="0" w:firstLineChars="0"/>
              <w:jc w:val="center"/>
              <w:rPr>
                <w:rFonts w:ascii="宋体" w:hAnsi="宋体" w:eastAsia="宋体"/>
                <w:b/>
                <w:snapToGrid/>
                <w:kern w:val="2"/>
                <w:sz w:val="21"/>
                <w:szCs w:val="21"/>
              </w:rPr>
            </w:pPr>
          </w:p>
        </w:tc>
        <w:tc>
          <w:tcPr>
            <w:tcW w:w="5640" w:type="dxa"/>
            <w:gridSpan w:val="6"/>
            <w:tcBorders>
              <w:left w:val="single" w:color="auto" w:sz="4" w:space="0"/>
            </w:tcBorders>
            <w:vAlign w:val="center"/>
          </w:tcPr>
          <w:p>
            <w:pPr>
              <w:spacing w:line="240" w:lineRule="auto"/>
              <w:ind w:firstLine="0" w:firstLineChars="0"/>
              <w:jc w:val="left"/>
              <w:rPr>
                <w:rFonts w:ascii="宋体" w:hAnsi="宋体" w:eastAsia="宋体"/>
                <w:bCs/>
                <w:snapToGrid/>
                <w:kern w:val="2"/>
                <w:sz w:val="21"/>
                <w:szCs w:val="21"/>
              </w:rPr>
            </w:pPr>
            <w:r>
              <w:rPr>
                <w:rFonts w:hint="eastAsia" w:ascii="宋体" w:hAnsi="宋体" w:eastAsia="宋体"/>
                <w:bCs/>
                <w:snapToGrid/>
                <w:kern w:val="2"/>
                <w:sz w:val="21"/>
                <w:szCs w:val="21"/>
              </w:rPr>
              <w:t>酒杯桌倒地。</w:t>
            </w:r>
          </w:p>
        </w:tc>
        <w:tc>
          <w:tcPr>
            <w:tcW w:w="3347" w:type="dxa"/>
            <w:gridSpan w:val="3"/>
            <w:vAlign w:val="center"/>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continue"/>
            <w:vAlign w:val="center"/>
          </w:tcPr>
          <w:p>
            <w:pPr>
              <w:adjustRightInd/>
              <w:spacing w:line="240" w:lineRule="auto"/>
              <w:ind w:firstLine="0" w:firstLineChars="0"/>
              <w:jc w:val="center"/>
              <w:rPr>
                <w:rFonts w:ascii="宋体" w:hAnsi="宋体" w:eastAsia="宋体"/>
                <w:b/>
                <w:snapToGrid/>
                <w:kern w:val="2"/>
                <w:sz w:val="21"/>
                <w:szCs w:val="21"/>
              </w:rPr>
            </w:pPr>
          </w:p>
        </w:tc>
        <w:tc>
          <w:tcPr>
            <w:tcW w:w="5640" w:type="dxa"/>
            <w:gridSpan w:val="6"/>
            <w:tcBorders>
              <w:left w:val="single" w:color="auto" w:sz="4" w:space="0"/>
            </w:tcBorders>
            <w:vAlign w:val="center"/>
          </w:tcPr>
          <w:p>
            <w:pPr>
              <w:spacing w:line="240" w:lineRule="auto"/>
              <w:ind w:firstLine="0" w:firstLineChars="0"/>
              <w:jc w:val="left"/>
              <w:rPr>
                <w:rFonts w:ascii="宋体" w:hAnsi="宋体" w:eastAsia="宋体"/>
                <w:bCs/>
                <w:snapToGrid/>
                <w:kern w:val="2"/>
                <w:sz w:val="21"/>
                <w:szCs w:val="21"/>
              </w:rPr>
            </w:pPr>
            <w:r>
              <w:rPr>
                <w:rFonts w:hint="eastAsia" w:ascii="宋体" w:hAnsi="宋体" w:eastAsia="宋体"/>
                <w:bCs/>
                <w:snapToGrid/>
                <w:kern w:val="2"/>
                <w:sz w:val="21"/>
                <w:szCs w:val="21"/>
              </w:rPr>
              <w:t>三个苹果均未挑起成功。</w:t>
            </w:r>
          </w:p>
        </w:tc>
        <w:tc>
          <w:tcPr>
            <w:tcW w:w="3347" w:type="dxa"/>
            <w:gridSpan w:val="3"/>
            <w:vAlign w:val="center"/>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continue"/>
            <w:vAlign w:val="center"/>
          </w:tcPr>
          <w:p>
            <w:pPr>
              <w:adjustRightInd/>
              <w:spacing w:line="240" w:lineRule="auto"/>
              <w:ind w:firstLine="0" w:firstLineChars="0"/>
              <w:jc w:val="center"/>
              <w:rPr>
                <w:rFonts w:ascii="宋体" w:hAnsi="宋体" w:eastAsia="宋体"/>
                <w:b/>
                <w:snapToGrid/>
                <w:kern w:val="2"/>
                <w:sz w:val="21"/>
                <w:szCs w:val="21"/>
              </w:rPr>
            </w:pPr>
          </w:p>
        </w:tc>
        <w:tc>
          <w:tcPr>
            <w:tcW w:w="5640" w:type="dxa"/>
            <w:gridSpan w:val="6"/>
            <w:tcBorders>
              <w:left w:val="single" w:color="auto" w:sz="4" w:space="0"/>
            </w:tcBorders>
            <w:vAlign w:val="center"/>
          </w:tcPr>
          <w:p>
            <w:pPr>
              <w:spacing w:line="240" w:lineRule="auto"/>
              <w:ind w:firstLine="0" w:firstLineChars="0"/>
              <w:jc w:val="left"/>
              <w:rPr>
                <w:rFonts w:ascii="宋体" w:hAnsi="宋体" w:eastAsia="宋体"/>
                <w:bCs/>
                <w:snapToGrid/>
                <w:kern w:val="2"/>
                <w:sz w:val="21"/>
                <w:szCs w:val="21"/>
              </w:rPr>
            </w:pPr>
            <w:r>
              <w:rPr>
                <w:rFonts w:hint="eastAsia" w:ascii="宋体" w:hAnsi="宋体" w:eastAsia="宋体"/>
                <w:bCs/>
                <w:snapToGrid/>
                <w:kern w:val="2"/>
                <w:sz w:val="21"/>
                <w:szCs w:val="21"/>
              </w:rPr>
              <w:t>酒杯液体总容积低于</w:t>
            </w:r>
            <w:r>
              <w:rPr>
                <w:rFonts w:ascii="宋体" w:hAnsi="宋体" w:eastAsia="宋体"/>
                <w:bCs/>
                <w:snapToGrid/>
                <w:kern w:val="2"/>
                <w:sz w:val="21"/>
                <w:szCs w:val="21"/>
              </w:rPr>
              <w:t>10</w:t>
            </w:r>
            <w:r>
              <w:rPr>
                <w:rFonts w:hint="eastAsia" w:ascii="宋体" w:hAnsi="宋体" w:eastAsia="宋体"/>
                <w:bCs/>
                <w:snapToGrid/>
                <w:kern w:val="2"/>
                <w:sz w:val="21"/>
                <w:szCs w:val="21"/>
              </w:rPr>
              <w:t>0ml（不含</w:t>
            </w:r>
            <w:r>
              <w:rPr>
                <w:rFonts w:ascii="宋体" w:hAnsi="宋体" w:eastAsia="宋体"/>
                <w:bCs/>
                <w:snapToGrid/>
                <w:kern w:val="2"/>
                <w:sz w:val="21"/>
                <w:szCs w:val="21"/>
              </w:rPr>
              <w:t>100</w:t>
            </w:r>
            <w:r>
              <w:rPr>
                <w:rFonts w:hint="eastAsia" w:ascii="宋体" w:hAnsi="宋体" w:eastAsia="宋体"/>
                <w:bCs/>
                <w:snapToGrid/>
                <w:kern w:val="2"/>
                <w:sz w:val="21"/>
                <w:szCs w:val="21"/>
              </w:rPr>
              <w:t>ml）</w:t>
            </w:r>
          </w:p>
        </w:tc>
        <w:tc>
          <w:tcPr>
            <w:tcW w:w="3347" w:type="dxa"/>
            <w:gridSpan w:val="3"/>
            <w:vAlign w:val="center"/>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continue"/>
            <w:vAlign w:val="center"/>
          </w:tcPr>
          <w:p>
            <w:pPr>
              <w:adjustRightInd/>
              <w:spacing w:line="240" w:lineRule="auto"/>
              <w:ind w:firstLine="0" w:firstLineChars="0"/>
              <w:jc w:val="center"/>
              <w:rPr>
                <w:rFonts w:ascii="宋体" w:hAnsi="宋体" w:eastAsia="宋体"/>
                <w:b/>
                <w:snapToGrid/>
                <w:kern w:val="2"/>
                <w:sz w:val="21"/>
                <w:szCs w:val="21"/>
              </w:rPr>
            </w:pPr>
          </w:p>
        </w:tc>
        <w:tc>
          <w:tcPr>
            <w:tcW w:w="5640" w:type="dxa"/>
            <w:gridSpan w:val="6"/>
            <w:tcBorders>
              <w:left w:val="single" w:color="auto" w:sz="4" w:space="0"/>
            </w:tcBorders>
            <w:vAlign w:val="center"/>
          </w:tcPr>
          <w:p>
            <w:pPr>
              <w:spacing w:line="240" w:lineRule="auto"/>
              <w:ind w:firstLine="0" w:firstLineChars="0"/>
              <w:jc w:val="left"/>
              <w:rPr>
                <w:rFonts w:ascii="宋体" w:hAnsi="宋体" w:eastAsia="宋体"/>
                <w:bCs/>
                <w:snapToGrid/>
                <w:kern w:val="2"/>
                <w:sz w:val="21"/>
                <w:szCs w:val="21"/>
              </w:rPr>
            </w:pPr>
            <w:r>
              <w:rPr>
                <w:rFonts w:hint="eastAsia" w:ascii="宋体" w:hAnsi="宋体" w:eastAsia="宋体"/>
                <w:bCs/>
                <w:snapToGrid/>
                <w:kern w:val="2"/>
                <w:sz w:val="21"/>
                <w:szCs w:val="21"/>
              </w:rPr>
              <w:t>比赛时间超过</w:t>
            </w:r>
            <w:r>
              <w:rPr>
                <w:rFonts w:ascii="宋体" w:hAnsi="宋体" w:eastAsia="宋体"/>
                <w:bCs/>
                <w:snapToGrid/>
                <w:kern w:val="2"/>
                <w:sz w:val="21"/>
                <w:szCs w:val="21"/>
              </w:rPr>
              <w:t>15</w:t>
            </w:r>
            <w:r>
              <w:rPr>
                <w:rFonts w:hint="eastAsia" w:ascii="宋体" w:hAnsi="宋体" w:eastAsia="宋体"/>
                <w:bCs/>
                <w:snapToGrid/>
                <w:kern w:val="2"/>
                <w:sz w:val="21"/>
                <w:szCs w:val="21"/>
              </w:rPr>
              <w:t>分钟仍未完成，终止比赛。</w:t>
            </w:r>
          </w:p>
        </w:tc>
        <w:tc>
          <w:tcPr>
            <w:tcW w:w="3347" w:type="dxa"/>
            <w:gridSpan w:val="3"/>
            <w:vAlign w:val="center"/>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restart"/>
            <w:vAlign w:val="center"/>
          </w:tcPr>
          <w:p>
            <w:pPr>
              <w:adjustRightInd/>
              <w:spacing w:line="240" w:lineRule="auto"/>
              <w:ind w:firstLine="210" w:firstLineChars="100"/>
              <w:rPr>
                <w:rFonts w:ascii="宋体" w:hAnsi="宋体" w:eastAsia="宋体"/>
                <w:bCs/>
                <w:snapToGrid/>
                <w:kern w:val="2"/>
                <w:sz w:val="21"/>
                <w:szCs w:val="21"/>
              </w:rPr>
            </w:pPr>
            <w:r>
              <w:rPr>
                <w:rFonts w:hint="eastAsia" w:ascii="宋体" w:hAnsi="宋体" w:eastAsia="宋体"/>
                <w:bCs/>
                <w:snapToGrid/>
                <w:kern w:val="2"/>
                <w:sz w:val="21"/>
                <w:szCs w:val="21"/>
              </w:rPr>
              <w:t>取消成绩</w:t>
            </w:r>
          </w:p>
        </w:tc>
        <w:tc>
          <w:tcPr>
            <w:tcW w:w="5640" w:type="dxa"/>
            <w:gridSpan w:val="6"/>
            <w:tcBorders>
              <w:left w:val="single" w:color="auto" w:sz="4" w:space="0"/>
            </w:tcBorders>
            <w:vAlign w:val="center"/>
          </w:tcPr>
          <w:p>
            <w:pPr>
              <w:spacing w:line="240" w:lineRule="auto"/>
              <w:ind w:firstLine="0" w:firstLineChars="0"/>
              <w:jc w:val="left"/>
              <w:rPr>
                <w:rFonts w:ascii="宋体" w:hAnsi="宋体" w:eastAsia="宋体"/>
                <w:bCs/>
                <w:snapToGrid/>
                <w:kern w:val="2"/>
                <w:sz w:val="21"/>
                <w:szCs w:val="21"/>
              </w:rPr>
            </w:pPr>
            <w:r>
              <w:rPr>
                <w:rStyle w:val="17"/>
                <w:rFonts w:hint="eastAsia" w:ascii="宋体" w:hAnsi="宋体" w:cs="宋体"/>
                <w:szCs w:val="21"/>
              </w:rPr>
              <w:t>未按规定流程、操作规程要求操作。</w:t>
            </w:r>
          </w:p>
        </w:tc>
        <w:tc>
          <w:tcPr>
            <w:tcW w:w="3347" w:type="dxa"/>
            <w:gridSpan w:val="3"/>
            <w:vAlign w:val="center"/>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continue"/>
            <w:vAlign w:val="center"/>
          </w:tcPr>
          <w:p>
            <w:pPr>
              <w:adjustRightInd/>
              <w:spacing w:line="240" w:lineRule="auto"/>
              <w:ind w:firstLine="0" w:firstLineChars="0"/>
              <w:jc w:val="center"/>
              <w:rPr>
                <w:rFonts w:ascii="宋体" w:hAnsi="宋体" w:eastAsia="宋体"/>
                <w:b/>
                <w:snapToGrid/>
                <w:kern w:val="2"/>
                <w:sz w:val="21"/>
                <w:szCs w:val="21"/>
              </w:rPr>
            </w:pPr>
          </w:p>
        </w:tc>
        <w:tc>
          <w:tcPr>
            <w:tcW w:w="5640" w:type="dxa"/>
            <w:gridSpan w:val="6"/>
            <w:tcBorders>
              <w:left w:val="single" w:color="auto" w:sz="4" w:space="0"/>
            </w:tcBorders>
            <w:vAlign w:val="center"/>
          </w:tcPr>
          <w:p>
            <w:pPr>
              <w:spacing w:line="240" w:lineRule="auto"/>
              <w:ind w:firstLine="0" w:firstLineChars="0"/>
              <w:jc w:val="left"/>
              <w:rPr>
                <w:rStyle w:val="17"/>
                <w:rFonts w:ascii="宋体" w:hAnsi="宋体" w:cs="宋体"/>
                <w:szCs w:val="21"/>
              </w:rPr>
            </w:pPr>
            <w:r>
              <w:rPr>
                <w:rFonts w:hint="eastAsia" w:ascii="宋体" w:hAnsi="宋体" w:eastAsia="宋体"/>
                <w:bCs/>
                <w:snapToGrid/>
                <w:kern w:val="2"/>
                <w:sz w:val="21"/>
                <w:szCs w:val="21"/>
              </w:rPr>
              <w:t>不服从裁判管理。</w:t>
            </w:r>
          </w:p>
        </w:tc>
        <w:tc>
          <w:tcPr>
            <w:tcW w:w="3347" w:type="dxa"/>
            <w:gridSpan w:val="3"/>
            <w:vAlign w:val="center"/>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85" w:type="dxa"/>
            <w:vMerge w:val="continue"/>
            <w:vAlign w:val="center"/>
          </w:tcPr>
          <w:p>
            <w:pPr>
              <w:adjustRightInd/>
              <w:spacing w:line="240" w:lineRule="auto"/>
              <w:ind w:firstLine="0" w:firstLineChars="0"/>
              <w:jc w:val="center"/>
              <w:rPr>
                <w:rFonts w:ascii="宋体" w:hAnsi="宋体" w:eastAsia="宋体"/>
                <w:b/>
                <w:snapToGrid/>
                <w:kern w:val="2"/>
                <w:sz w:val="21"/>
                <w:szCs w:val="21"/>
              </w:rPr>
            </w:pPr>
          </w:p>
        </w:tc>
        <w:tc>
          <w:tcPr>
            <w:tcW w:w="5640" w:type="dxa"/>
            <w:gridSpan w:val="6"/>
            <w:tcBorders>
              <w:left w:val="single" w:color="auto" w:sz="4" w:space="0"/>
            </w:tcBorders>
            <w:vAlign w:val="center"/>
          </w:tcPr>
          <w:p>
            <w:pPr>
              <w:spacing w:line="240" w:lineRule="auto"/>
              <w:ind w:firstLine="0" w:firstLineChars="0"/>
              <w:jc w:val="left"/>
              <w:rPr>
                <w:rStyle w:val="17"/>
                <w:rFonts w:ascii="宋体" w:hAnsi="宋体" w:cs="宋体"/>
                <w:szCs w:val="21"/>
              </w:rPr>
            </w:pPr>
            <w:r>
              <w:rPr>
                <w:rFonts w:hint="eastAsia" w:ascii="宋体" w:hAnsi="宋体" w:eastAsia="宋体"/>
                <w:bCs/>
                <w:snapToGrid/>
                <w:kern w:val="2"/>
                <w:sz w:val="21"/>
                <w:szCs w:val="21"/>
              </w:rPr>
              <w:t>圆环未旋转360度。</w:t>
            </w:r>
          </w:p>
        </w:tc>
        <w:tc>
          <w:tcPr>
            <w:tcW w:w="3347" w:type="dxa"/>
            <w:gridSpan w:val="3"/>
            <w:vAlign w:val="center"/>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5490" w:type="dxa"/>
            <w:gridSpan w:val="4"/>
            <w:shd w:val="clear" w:color="auto" w:fill="auto"/>
            <w:vAlign w:val="center"/>
          </w:tcPr>
          <w:p>
            <w:pPr>
              <w:spacing w:line="240" w:lineRule="auto"/>
              <w:ind w:firstLine="0" w:firstLineChars="0"/>
              <w:jc w:val="center"/>
              <w:rPr>
                <w:rFonts w:ascii="宋体" w:hAnsi="宋体" w:eastAsia="宋体"/>
                <w:sz w:val="21"/>
                <w:szCs w:val="21"/>
              </w:rPr>
            </w:pPr>
            <w:r>
              <w:rPr>
                <w:rFonts w:hint="eastAsia" w:ascii="宋体" w:hAnsi="宋体" w:eastAsia="宋体"/>
                <w:b/>
                <w:sz w:val="21"/>
                <w:szCs w:val="21"/>
              </w:rPr>
              <w:t>竞赛成绩</w:t>
            </w:r>
          </w:p>
        </w:tc>
        <w:tc>
          <w:tcPr>
            <w:tcW w:w="4982" w:type="dxa"/>
            <w:gridSpan w:val="6"/>
            <w:tcBorders>
              <w:left w:val="single" w:color="auto" w:sz="4" w:space="0"/>
            </w:tcBorders>
            <w:vAlign w:val="center"/>
          </w:tcPr>
          <w:p>
            <w:pPr>
              <w:spacing w:line="240" w:lineRule="auto"/>
              <w:ind w:firstLine="0" w:firstLineChars="0"/>
              <w:jc w:val="center"/>
              <w:rPr>
                <w:rFonts w:ascii="宋体" w:hAnsi="宋体"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56" w:type="dxa"/>
            <w:gridSpan w:val="2"/>
            <w:tcBorders>
              <w:top w:val="single" w:color="000000" w:sz="4" w:space="0"/>
              <w:left w:val="single" w:color="000000" w:sz="4" w:space="0"/>
              <w:bottom w:val="single" w:color="000000" w:sz="4" w:space="0"/>
              <w:right w:val="single" w:color="auto" w:sz="4" w:space="0"/>
            </w:tcBorders>
            <w:shd w:val="clear" w:color="auto" w:fill="FFFFFF"/>
            <w:vAlign w:val="center"/>
          </w:tcPr>
          <w:p>
            <w:pPr>
              <w:spacing w:line="240" w:lineRule="auto"/>
              <w:ind w:firstLine="0" w:firstLineChars="0"/>
              <w:jc w:val="center"/>
              <w:rPr>
                <w:rFonts w:ascii="宋体" w:hAnsi="宋体" w:eastAsia="宋体"/>
                <w:b/>
                <w:sz w:val="21"/>
                <w:szCs w:val="21"/>
              </w:rPr>
            </w:pPr>
            <w:r>
              <w:rPr>
                <w:rFonts w:hint="eastAsia" w:ascii="宋体" w:hAnsi="宋体" w:eastAsia="宋体"/>
                <w:b/>
                <w:sz w:val="21"/>
                <w:szCs w:val="21"/>
              </w:rPr>
              <w:t>选手签字</w:t>
            </w:r>
          </w:p>
        </w:tc>
        <w:tc>
          <w:tcPr>
            <w:tcW w:w="2120" w:type="dxa"/>
            <w:tcBorders>
              <w:top w:val="single" w:color="000000" w:sz="4" w:space="0"/>
              <w:left w:val="single" w:color="auto" w:sz="4" w:space="0"/>
              <w:bottom w:val="single" w:color="000000" w:sz="4" w:space="0"/>
              <w:right w:val="single" w:color="auto" w:sz="4" w:space="0"/>
            </w:tcBorders>
            <w:shd w:val="clear" w:color="auto" w:fill="FFFFFF"/>
            <w:vAlign w:val="center"/>
          </w:tcPr>
          <w:p>
            <w:pPr>
              <w:spacing w:line="240" w:lineRule="auto"/>
              <w:ind w:firstLine="0" w:firstLineChars="0"/>
              <w:jc w:val="center"/>
              <w:rPr>
                <w:rFonts w:ascii="宋体" w:hAnsi="宋体" w:eastAsia="宋体"/>
                <w:b/>
                <w:sz w:val="21"/>
                <w:szCs w:val="21"/>
              </w:rPr>
            </w:pPr>
          </w:p>
        </w:tc>
        <w:tc>
          <w:tcPr>
            <w:tcW w:w="1814" w:type="dxa"/>
            <w:tcBorders>
              <w:top w:val="single" w:color="000000" w:sz="4" w:space="0"/>
              <w:left w:val="single" w:color="auto" w:sz="4" w:space="0"/>
              <w:bottom w:val="single" w:color="000000" w:sz="4" w:space="0"/>
              <w:right w:val="single" w:color="auto" w:sz="4" w:space="0"/>
            </w:tcBorders>
            <w:shd w:val="clear" w:color="auto" w:fill="FFFFFF"/>
            <w:vAlign w:val="center"/>
          </w:tcPr>
          <w:p>
            <w:pPr>
              <w:spacing w:line="240" w:lineRule="auto"/>
              <w:ind w:firstLine="0" w:firstLineChars="0"/>
              <w:jc w:val="center"/>
              <w:rPr>
                <w:rFonts w:ascii="宋体" w:hAnsi="宋体" w:eastAsia="宋体"/>
                <w:b/>
                <w:sz w:val="21"/>
                <w:szCs w:val="21"/>
              </w:rPr>
            </w:pPr>
            <w:r>
              <w:rPr>
                <w:rFonts w:hint="eastAsia" w:ascii="宋体" w:hAnsi="宋体" w:eastAsia="宋体"/>
                <w:b/>
                <w:sz w:val="21"/>
                <w:szCs w:val="21"/>
              </w:rPr>
              <w:t>裁判员签字</w:t>
            </w:r>
          </w:p>
        </w:tc>
        <w:tc>
          <w:tcPr>
            <w:tcW w:w="4982" w:type="dxa"/>
            <w:gridSpan w:val="6"/>
            <w:tcBorders>
              <w:top w:val="single" w:color="000000" w:sz="4" w:space="0"/>
              <w:left w:val="single" w:color="auto"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ascii="宋体" w:hAnsi="宋体" w:eastAsia="宋体"/>
                <w:b/>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56" w:type="dxa"/>
            <w:gridSpan w:val="2"/>
            <w:tcBorders>
              <w:top w:val="single" w:color="000000" w:sz="4" w:space="0"/>
              <w:left w:val="single" w:color="000000" w:sz="4" w:space="0"/>
              <w:bottom w:val="single" w:color="000000" w:sz="4" w:space="0"/>
              <w:right w:val="single" w:color="auto" w:sz="4" w:space="0"/>
            </w:tcBorders>
            <w:shd w:val="clear" w:color="auto" w:fill="FFFFFF"/>
            <w:vAlign w:val="center"/>
          </w:tcPr>
          <w:p>
            <w:pPr>
              <w:spacing w:line="240" w:lineRule="auto"/>
              <w:ind w:firstLine="0" w:firstLineChars="0"/>
              <w:jc w:val="center"/>
              <w:rPr>
                <w:rFonts w:ascii="宋体" w:hAnsi="宋体" w:eastAsia="宋体"/>
                <w:b/>
                <w:sz w:val="21"/>
                <w:szCs w:val="21"/>
              </w:rPr>
            </w:pPr>
            <w:r>
              <w:rPr>
                <w:rFonts w:hint="eastAsia" w:ascii="宋体" w:hAnsi="宋体" w:eastAsia="宋体"/>
                <w:b/>
                <w:sz w:val="21"/>
                <w:szCs w:val="21"/>
              </w:rPr>
              <w:t>记分员签字</w:t>
            </w:r>
          </w:p>
        </w:tc>
        <w:tc>
          <w:tcPr>
            <w:tcW w:w="3934" w:type="dxa"/>
            <w:gridSpan w:val="2"/>
            <w:tcBorders>
              <w:top w:val="single" w:color="000000" w:sz="4" w:space="0"/>
              <w:left w:val="single" w:color="auto" w:sz="4" w:space="0"/>
              <w:bottom w:val="single" w:color="000000" w:sz="4" w:space="0"/>
              <w:right w:val="single" w:color="auto" w:sz="4" w:space="0"/>
            </w:tcBorders>
            <w:shd w:val="clear" w:color="auto" w:fill="FFFFFF"/>
            <w:vAlign w:val="center"/>
          </w:tcPr>
          <w:p>
            <w:pPr>
              <w:spacing w:line="240" w:lineRule="auto"/>
              <w:ind w:firstLine="0" w:firstLineChars="0"/>
              <w:jc w:val="center"/>
              <w:rPr>
                <w:rFonts w:ascii="宋体" w:hAnsi="宋体" w:eastAsia="宋体"/>
                <w:b/>
                <w:sz w:val="21"/>
                <w:szCs w:val="21"/>
              </w:rPr>
            </w:pPr>
          </w:p>
        </w:tc>
        <w:tc>
          <w:tcPr>
            <w:tcW w:w="1526" w:type="dxa"/>
            <w:gridSpan w:val="2"/>
            <w:tcBorders>
              <w:top w:val="single" w:color="000000" w:sz="4" w:space="0"/>
              <w:left w:val="single" w:color="auto" w:sz="4" w:space="0"/>
              <w:bottom w:val="single" w:color="000000" w:sz="4" w:space="0"/>
              <w:right w:val="single" w:color="auto" w:sz="4" w:space="0"/>
            </w:tcBorders>
            <w:shd w:val="clear" w:color="auto" w:fill="FFFFFF"/>
            <w:vAlign w:val="center"/>
          </w:tcPr>
          <w:p>
            <w:pPr>
              <w:spacing w:line="240" w:lineRule="auto"/>
              <w:ind w:firstLine="0" w:firstLineChars="0"/>
              <w:jc w:val="center"/>
              <w:rPr>
                <w:rFonts w:ascii="宋体" w:hAnsi="宋体" w:eastAsia="宋体"/>
                <w:b/>
                <w:sz w:val="21"/>
                <w:szCs w:val="21"/>
              </w:rPr>
            </w:pPr>
            <w:r>
              <w:rPr>
                <w:rFonts w:hint="eastAsia" w:ascii="宋体" w:hAnsi="宋体" w:eastAsia="宋体"/>
                <w:b/>
                <w:sz w:val="21"/>
                <w:szCs w:val="21"/>
              </w:rPr>
              <w:t>裁判长签字</w:t>
            </w:r>
          </w:p>
        </w:tc>
        <w:tc>
          <w:tcPr>
            <w:tcW w:w="3456" w:type="dxa"/>
            <w:gridSpan w:val="4"/>
            <w:tcBorders>
              <w:top w:val="single" w:color="000000" w:sz="4" w:space="0"/>
              <w:left w:val="single" w:color="auto"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ascii="宋体" w:hAnsi="宋体" w:eastAsia="宋体"/>
                <w:b/>
                <w:sz w:val="21"/>
                <w:szCs w:val="21"/>
              </w:rPr>
            </w:pPr>
          </w:p>
        </w:tc>
      </w:tr>
    </w:tbl>
    <w:p>
      <w:pPr>
        <w:pStyle w:val="4"/>
        <w:spacing w:line="20" w:lineRule="exact"/>
        <w:ind w:firstLine="480"/>
        <w:jc w:val="left"/>
      </w:pPr>
    </w:p>
    <w:p>
      <w:pPr>
        <w:spacing w:line="560" w:lineRule="exact"/>
        <w:ind w:left="0" w:leftChars="0" w:firstLine="0" w:firstLineChars="0"/>
        <w:jc w:val="left"/>
        <w:rPr>
          <w:rFonts w:hint="eastAsia" w:ascii="黑体" w:hAnsi="黑体" w:eastAsia="黑体"/>
          <w:sz w:val="36"/>
          <w:szCs w:val="40"/>
          <w:lang w:eastAsia="zh-CN"/>
        </w:rPr>
      </w:pPr>
      <w:r>
        <w:rPr>
          <w:rFonts w:hint="eastAsia" w:ascii="黑体" w:hAnsi="黑体" w:eastAsia="黑体"/>
          <w:sz w:val="36"/>
          <w:szCs w:val="40"/>
        </w:rPr>
        <w:t>附件</w:t>
      </w:r>
      <w:r>
        <w:rPr>
          <w:rFonts w:hint="eastAsia" w:ascii="黑体" w:hAnsi="黑体" w:eastAsia="黑体"/>
          <w:sz w:val="36"/>
          <w:szCs w:val="40"/>
          <w:lang w:val="en-US" w:eastAsia="zh-CN"/>
        </w:rPr>
        <w:t>3</w:t>
      </w:r>
    </w:p>
    <w:p>
      <w:pPr>
        <w:spacing w:line="560" w:lineRule="exact"/>
        <w:jc w:val="center"/>
        <w:rPr>
          <w:rFonts w:hint="eastAsia" w:ascii="方正小标宋简体" w:hAnsi="方正小标宋简体" w:eastAsia="方正小标宋简体" w:cs="方正小标宋简体"/>
          <w:sz w:val="40"/>
          <w:szCs w:val="44"/>
        </w:rPr>
      </w:pPr>
      <w:r>
        <w:rPr>
          <w:rFonts w:hint="eastAsia" w:ascii="方正小标宋简体" w:hAnsi="方正小标宋简体" w:eastAsia="方正小标宋简体" w:cs="方正小标宋简体"/>
          <w:sz w:val="40"/>
          <w:szCs w:val="44"/>
          <w:lang w:eastAsia="zh-CN"/>
        </w:rPr>
        <w:t>挖掘机司机</w:t>
      </w:r>
      <w:r>
        <w:rPr>
          <w:rFonts w:hint="eastAsia" w:ascii="方正小标宋简体" w:hAnsi="方正小标宋简体" w:eastAsia="方正小标宋简体" w:cs="方正小标宋简体"/>
          <w:sz w:val="40"/>
          <w:szCs w:val="44"/>
        </w:rPr>
        <w:t>项目理论题库</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lang w:val="zh-CN"/>
        </w:rPr>
      </w:pPr>
      <w:r>
        <w:rPr>
          <w:rFonts w:hint="eastAsia" w:asciiTheme="minorEastAsia" w:hAnsiTheme="minorEastAsia" w:eastAsiaTheme="minorEastAsia" w:cstheme="minorEastAsia"/>
          <w:bCs/>
          <w:snapToGrid/>
          <w:kern w:val="2"/>
          <w:sz w:val="21"/>
          <w:szCs w:val="21"/>
          <w:lang w:val="zh-CN"/>
        </w:rPr>
        <w:t>一、</w:t>
      </w:r>
      <w:r>
        <w:rPr>
          <w:rFonts w:hint="eastAsia" w:asciiTheme="minorEastAsia" w:hAnsiTheme="minorEastAsia" w:eastAsiaTheme="minorEastAsia" w:cstheme="minorEastAsia"/>
          <w:bCs/>
          <w:snapToGrid/>
          <w:kern w:val="2"/>
          <w:sz w:val="21"/>
          <w:szCs w:val="21"/>
        </w:rPr>
        <w:t>单项选择题</w:t>
      </w:r>
      <w:r>
        <w:rPr>
          <w:rFonts w:hint="eastAsia" w:asciiTheme="minorEastAsia" w:hAnsiTheme="minorEastAsia" w:eastAsiaTheme="minorEastAsia" w:cstheme="minorEastAsia"/>
          <w:bCs/>
          <w:snapToGrid/>
          <w:kern w:val="2"/>
          <w:sz w:val="21"/>
          <w:szCs w:val="21"/>
          <w:lang w:val="zh-CN"/>
        </w:rPr>
        <w:t>（专业题</w:t>
      </w:r>
      <w:r>
        <w:rPr>
          <w:rFonts w:hint="eastAsia" w:asciiTheme="minorEastAsia" w:hAnsiTheme="minorEastAsia" w:eastAsiaTheme="minorEastAsia" w:cstheme="minorEastAsia"/>
          <w:bCs/>
          <w:snapToGrid/>
          <w:kern w:val="2"/>
          <w:sz w:val="21"/>
          <w:szCs w:val="21"/>
        </w:rPr>
        <w:t>340题，公共基础题60题，共计400题</w:t>
      </w:r>
      <w:r>
        <w:rPr>
          <w:rFonts w:hint="eastAsia" w:asciiTheme="minorEastAsia" w:hAnsiTheme="minorEastAsia" w:eastAsiaTheme="minorEastAsia" w:cstheme="minorEastAsia"/>
          <w:bCs/>
          <w:snapToGrid/>
          <w:kern w:val="2"/>
          <w:sz w:val="21"/>
          <w:szCs w:val="21"/>
          <w:lang w:val="zh-CN"/>
        </w:rPr>
        <w:t>）</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1.内燃机用直流电动机启动时每次不得超过（     ）S。</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D.3</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2.柴油机启动后，要以低速运转（     ）min后，方可逐渐增加转速和负载。</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B.2～3</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C.3～5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D.5～8</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3.6135柴油机，6表示6缸，135表示（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A.燃烧室容积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B.活塞行程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C.气缸长度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D.气缸直径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4.锂基润滑脂的色泽是（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A.黄色</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B.黑色</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C.暗色</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D.白色</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5.直列式四缸柴油机，各缸动作的间隔角度为（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A.60°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B.90°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C.120°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D.180°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6.四冲程内燃机每个活塞行程完成（     ）次工作循环。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C.1/2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D.1/4</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7.摩擦轮传动一般不（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A.应用于要求结构简单的场合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B.可在运转中变速或变向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C.在过载时起保护作用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D.可以传递较大扭矩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8.常见的铸造件缺陷不包括（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A.气孔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B.缩孔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C.砂眼</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D.毛刺</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9.平型带传动的特点为（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A.结构复杂，不适宜用于两轴中心距较大场合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B.有弹性，能缓冲，吸振，传动平稳无噪声</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C.过载打滑，起安全保护作用，并能保持准确传动比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D.外廓尺寸较小，效率较高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10.平型带的带轮包角一般使用要求为（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A.α≥120°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B.α≥90°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C.α≤90°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D.α=20°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11.三角带传动的特点有（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A.结构复杂，不适应用于两轴中心距较大的传动场合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B.三角带有接头，并有弹性，能缓冲、吸振，传动平稳，无噪声</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C.过载打滑，会致使薄弱零件损坏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D.不能保证准确的传动比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12.单根三角带所能传递的功率主要与以下因素有关（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A.带速、型号、小轮直径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B.转速、型号、中心距</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C.小轮包角、型号、工作情况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D.小轮直径、小轮包角、中心距</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13.三角带的截面夹角是（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A.34°</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B.36°</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C.38°</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D.40°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14.三角带合适的工作速度υ应为（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A.υ≤10m/s</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B.υ≥20m/s</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C.5≤υ≤25m/s</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D.10≤υ≤30m/s</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15.螺纹的公称直径是指（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A.螺纹小径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B.螺纹中径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C.螺纹大径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D.螺纹底径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16.单向受力的螺旋传动机构广泛采用（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A.三角螺纹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B.梯形螺纹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C.矩形螺纹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D.锯齿形螺纹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17.螺纹传动机构（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A.结构复杂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B.传动效率高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C.承载能力高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D.传动精度低</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18.齿轮传动的特点有（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A.传递的功率和速度范围较大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B.也可利用摩擦力来传递运动或动力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C.传动效率低，但使用寿命长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D.齿轮的制造,安装要求不高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19.渐开线的性质有（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A.线上任意一点的法线与过该点的基圆切线不重合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B.线的形状取决于基圆的大小，当基圆半径趋于无穷大时，形状变为直线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C.基圆越大，基圆内的渐开线越趋平直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D.线上各点的齿形角相等，都是20°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20.一对渐开线齿轮传动（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A.保持传动比恒定不变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B.传动比与中心距有关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C.在标准中心距的条件下，分度圆与节圆不重合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D.在非标准中心距的条件下，啮合角等于齿形角</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21.能保持瞬时传动比恒定的传动是（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A.摩擦轮传动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B.带传动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C.键传动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D.齿轮传动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22.传动比大且准确的传动有（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A.带传动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B.键传动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C.齿轮传动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D.蜗杆传动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23.可以承受不大的单方向的轴向力，上、下两面是工作面的连接是（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A.楔键连接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B.切向键连接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C.平键连接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D.花键连接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24.锥形轴与轮毂的键连接应用（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A.楔键连接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B.平键连接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C.半月键连接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D.花键连接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25.既支承转动零件又传递动力的轴称（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A.曲轴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B.心轴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C.转轴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D.传动轴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26.只受弯曲作用而不传递动力，用来支承转动零件的轴称（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A.阶梯轴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B.心轴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C.转轴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D.传动轴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27.用于重要的高速重载的机械中的滑动轴承润滑方法，可采用（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A.滴油润滑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B.油环润滑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C.飞溅润滑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D.压力润滑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28.普通级的单列向心球轴承，中窄系列，内径d=60mm的球轴承代号是（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A.312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B.G212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C.860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D.G630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29.既承受径向力，又承受单向轴向力时，合理选用滚动轴承的类型代号是（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A.0000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B.2000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C.6000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D.7000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30.凸缘式联轴器（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A.属于可移式的刚性联轴器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B.对所连接的两轴之间的偏移，具有补偿能力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C.采用剖分环配合的对中性比采用凸肩凹槽配合好</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D.结构简单.使用方便.可传递较大的扭矩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31.属于可移式刚性联轴器的是（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A.带剖分环的凸缘联轴器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B.十字滑块联轴器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C.弹性圆柱销联轴器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D.尼龙柱销联轴器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32.电路中任意两点电位的差值称为（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A.电动势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B.电位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C.电压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D.电能</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33.在电路中电流的大小是（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A.与电压成正比，与电阻成正比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B.与电压成反比，与电阻成正比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C.与电压成正比，与电阻成反比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D.与电压与反比，与电阻成正比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34.有三只电阻阻值均为R，当两只电阻并联后再与另一只串联，则总电阻为（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A.3R</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B.2R</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C.3/2R</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D.1/3R</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35.将R1&gt;R2&gt;R3的三只电阻串联，接到电压为U的电源上，获得功率最大的电阻是（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A.R1</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B.R2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C.R3</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D.都一样大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36.机械零件经过清洗之后，即可进行检验分类,其目的是，通过检验确定零件的技术状况，并将零件分为（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A.可用的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B.可用的、待修的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C.待修的和报废的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D.可用的、待修的和报废的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37.细实线表示图样中的（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A.分界线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B.断裂处的边界线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C.不可见轮廓线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D.剖面线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38.图样中的轴线和对称中心线用（     ）表示。</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A.虚线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B.细实线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C.粗点划线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D.细点划线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39.铸件在凝固过程中，当合金的收缩得不到足够的液态金属补充时会产生（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A.气孔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B.缩孔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C.粘砂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D.裂纹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40.下列中不能锻压的金属材料是（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A.高碳钢</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B.黄金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C.铜</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D.铸铁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41.曲柄连杆机构由活塞组、连杆组、曲轴及（     ）等组成。</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A.凸轮曲</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B.准时齿轮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C.飞轮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D.气缸体</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42.柴油机供给系由油箱、滤清器、输油泵、喷油泵、（     ）及进、排气管等组成。</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A.化油器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B.冷却器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C.喷油器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D.限压器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43.单缸四冲程内燃机，曲轴每转（     ）圈，气缸完成一工作循环。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A.4</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B.3</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D.1</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44.柴油机的混合气是在（     ）内形成的。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A.化油器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B.进气管道</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C.气缸</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D.喷油管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45.柴油机压缩行程中被压缩的是（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A.空气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B.油.汽混合气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C.雾化了的柴油蒸气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D.不一定，都有可能</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46.四冲程内燃机排气行程终了后，气缸内的压力（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A.等于大气压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B.高于大气压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C.低于大气压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D.不一定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47.气缸压缩比是（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A.柴油机比汽油机高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B.柴油机比汽油机低</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C.柴油机与汽油机差不多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D.不一定，视机型而定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48.内燃机的耗油量是指（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A.内燃机每工作循环消耗的油量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B.内燃机每分钟消耗的油量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C.内燃机每小时消耗的油量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D.内燃机每小时每马力消耗的油量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49.内燃机的主要特性指标有负荷特性和（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A.功率特性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B.消耗特性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C.速度特性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D.扭矩特性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50.发动机工作过程中，活塞顶部的气体压力是（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A.阻力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B.推动力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C.作功行程是推动力，其他行程是阻力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D.既不是阻力，也不是推动力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51.装在曲轴后端部的飞轮的作用是（     ）与储存能量。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A.提高曲轴运转的平稳性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B.帮助曲柄机构越过死点位置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C.平衡曲轴各部分的质量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D.降低曲轴转速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52.零件的损伤按其产生的原因可分为四类(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A.断裂.变形.氧化.锈蚀</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B.断裂.锈蚀.磨损.疲劳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C.磨损.变形.疲劳.蚀损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D.开焊.变形.磨损.氧化</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53.气缸盖螺栓紧固应（     ），达到原厂规定的拧紧力矩。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A.一次拧紧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B.分几次拧紧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C.按一定次序逐个拧紧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D.按一定次序分几次拧紧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54.活塞形状是（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A.圆柱形的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B.椭圆形的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C.头部直径比裙部直径稍小一些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D.头部直径比裙部直径稍大一些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55.全支承式曲轴，其主轴颈数比连杆轴颈数（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A.少一个</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B.多一个</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C.一样多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D.不定，视机型而定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56.发动机的充气系数总是（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A.等于1</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B.大于1</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C.小于等于1</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D.小于1</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57.顶置气门式配气机构的进、排气门（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A.安装在气缸体上</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B.安装在气缸盖上</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C.进气门安装在气缸体上，排气门安装在气缸盖上</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D.进气门安装在气缸盖上，排气门安装在气缸体上</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58.气门间隙过小会造成发动机（     ）而功率下降。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A.进气不足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B.排气不足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C.进气不足.排气不净</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D.气门关闭不严密造成漏气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59.70号汽油中的70表示（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A.蒸发性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B.粘度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C.辛烷值</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D.四乙基铅含量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60.0号柴油中的0表示（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A.蒸发性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B.粘度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C.凝点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D.发火性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61.多缸柴油机各缸供油提前角应一致，相差不应大于（     ）曲轴转角。</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A.20°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B.1°30'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C.1°</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D.30'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62.喷油提前角过小，则会使柴油机所能达到的最高压力较低，热效率显著下降，(     )动力性和经济性下降。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A.工作粗暴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B.排气冒白烟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C.怠速不稳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D.起动困难</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63.发动机增压器的作用是提高（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A.气缸压力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B.进气压力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C.排气压力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D.进、排气压力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64.节温器是用来改变冷却水的（     ）和流量，以达到自动控制冷却强度的目的。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A.压力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B.流速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C.压力与流速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D.循环线路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65.发动机广泛采用的润滑方式为（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A.压力润滑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B.飞溅润滑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C.综合润滑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D.强制润滑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66.国产机油是根据温度在100℃时的运动粘度值进行分类的，号数越大则表示粘度越（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A.越大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B.越小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C.不一定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D.汽机油越大，柴机油越小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67.为了保证发动机润滑系统中有正常的压力和供油连续性，润滑系统中设置了（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A.机油泵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B.滤清器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C.安全.限压装置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D.指示装置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68.柴油机由于（     ），所以比汽油机要求较大的启动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A.功率大，柴油挥发性差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B.功率大，摩擦阻力大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C.压缩比大，柴油挥发性差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D.压缩比大，摩擦阻力大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69.变形零件的修复可采用（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A.压力校正法.火焰校正法</w:t>
      </w:r>
      <w:r>
        <w:rPr>
          <w:rFonts w:hint="eastAsia" w:asciiTheme="minorEastAsia" w:hAnsiTheme="minorEastAsia" w:eastAsiaTheme="minorEastAsia" w:cstheme="minorEastAsia"/>
          <w:bCs/>
          <w:snapToGrid/>
          <w:kern w:val="2"/>
          <w:sz w:val="21"/>
          <w:szCs w:val="21"/>
        </w:rPr>
        <w:tab/>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B.焊接.钎焊</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C.焊接.钎焊.钳工.机械加工</w:t>
      </w:r>
      <w:r>
        <w:rPr>
          <w:rFonts w:hint="eastAsia" w:asciiTheme="minorEastAsia" w:hAnsiTheme="minorEastAsia" w:eastAsiaTheme="minorEastAsia" w:cstheme="minorEastAsia"/>
          <w:bCs/>
          <w:snapToGrid/>
          <w:kern w:val="2"/>
          <w:sz w:val="21"/>
          <w:szCs w:val="21"/>
        </w:rPr>
        <w:tab/>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D.焊接.钎焊.钳工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70.反铲挖土机适宜于挖（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A.停机面以上的土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B.停机面以下的土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C.水面以下的土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D.深基坑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71.正铲挖土机适宜于挖（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A.停机面以上的土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B.停机面以下的土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C.水面以下的土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D.深基坑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72.抓铲挖土机适宜于挖（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A.停机面以上的土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B.停机面以下的土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C.深基坑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D.大而积浅基础</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73.润滑的作用是（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A.润滑作用.冷却作用.清洗作用.密封作用.减震降噪作用.卸荷作用.保护作用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B.润滑作用.冷却作用.清洗作用.密封作用.卸荷作用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C.冷却作用.清洗作用.密封作用.减震降噪作用.卸荷作用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D.密封作用.减震降噪作用.卸荷作用.保护作用.冷却作用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74.减速器的作用是（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A.减速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B.增扭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C.减速.增扭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D.减速.减扭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75.减速器是利用（     ）传动来达到减速的目的。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A.大齿轮带小齿轮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B.小齿轮带大齿轮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C.伞齿轮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D.蜗轮蜗杆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76.齿轮换向机构是利用（     ）传动来工作的。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A.圆柱齿轮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B.斜齿轮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C.伞齿轮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D.蜗轮蜗杆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77.制动器摩擦片磨损达（     ）应更换。</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A.50%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B.60%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C.40%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D.80%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78.制动器摩擦片与制动轮的实际接触面积，不应小于理论接触面积的（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A.50%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B.60%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C.70%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D.80%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79.滑轮轮槽壁厚磨损达原壁厚的（     ）应报废。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C.20%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D.25%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80.滑轮因磨损使轮槽底部直径减少量达钢丝绳直径的（     ）应报废。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A.30%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B.40%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C.50%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D.60%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81.卷筒筒壁磨损达原壁厚的（     ）应报废。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B.20%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C.50%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D.60%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82.滑轮轮槽不均匀磨损达（     ）mm，应报废。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B.3</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D.6</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83.制动轮出现裂纹（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A.可继续使用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B.应修复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C.不得修复，应报废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D.视情况而定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84.制动器销轴磨损达原直径（     ）应更换。</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A.3%</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C.8%</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D.10%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85.用绳卡连接钢丝绳时，7～16mm钢丝绳应用（     ）个绳卡。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A.3</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B.4</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D.6%</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86.用绳卡连接钢丝绳时，19～27mm钢丝绳应用（     ）个绳卡。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A.3</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B.4</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D.6</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87.用绳卡连接钢丝绳时，28～37mm钢丝绳，应用（     ）个钢丝绳。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A.3</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B.4</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D.6</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88.用绳卡连接钢丝绳时，38～45mm钢丝绳，应用（     ）个绳卡。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A.3</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B.4</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D.6</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89.用绳卡连接钢丝绳时，绳卡间距不应小于钢丝绳直径的（     ）倍。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A.4</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C.6</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D.7</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90.用绳卡连接钢丝绳时，绳卡压板应（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A.放在绳头一边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B.放在长绳一边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C.交叉放置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D.随意放置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91.用绳卡连接钢丝绳时，应保证连接强度不小于钢丝绳破断拉力的（</w:t>
      </w:r>
      <w:r>
        <w:rPr>
          <w:rFonts w:hint="default" w:asciiTheme="minorEastAsia" w:hAnsiTheme="minorEastAsia" w:eastAsiaTheme="minorEastAsia" w:cstheme="minorEastAsia"/>
          <w:bCs/>
          <w:snapToGrid/>
          <w:kern w:val="2"/>
          <w:sz w:val="21"/>
          <w:szCs w:val="21"/>
        </w:rPr>
        <w:t xml:space="preserve">     </w:t>
      </w:r>
      <w:r>
        <w:rPr>
          <w:rFonts w:hint="eastAsia" w:asciiTheme="minorEastAsia" w:hAnsiTheme="minorEastAsia" w:eastAsiaTheme="minorEastAsia" w:cstheme="minorEastAsia"/>
          <w:bCs/>
          <w:snapToGrid/>
          <w:kern w:val="2"/>
          <w:sz w:val="21"/>
          <w:szCs w:val="21"/>
        </w:rPr>
        <w:t>）。</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A.70%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B.75%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C.80%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D.85%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92.用编结方法连接钢丝绳时，编结长度不应小于钢丝绳直径的（     ）倍，并且不小于300mm。</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C.20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D.25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93.用编结方法连接钢丝绳时，编结长度不应小于钢丝绳直径的15倍，并且不得小于（     ）mm。</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A.200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B.250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C.300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D.350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94.用编结方法连接钢丝绳时，编结强度不得小于钢丝绳破断拉力的（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A.70%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B.75%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C.80%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D.85%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95.用楔块楔套连接钢丝绳时，连接强度应达钢丝绳破断拉力的（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A.70%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B.75%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C.80%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D.85%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96.用锥形套浇铸法连接钢丝绳时连接强度应达钢丝绳破断拉力的（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A.85%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B.90%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C.95%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D.100%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97.用铝合金套压缩法连接钢丝绳时，连接强度应达钢丝绳破断拉力的（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A.85%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B.90%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C.95%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D.100%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98.钢丝绳在卷筒上的缠绕，最少不得少于（     ）圈。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B.4</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C.3</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99.钢丝绳断丝达（     ）应报废。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C.15%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D.20%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100.钢丝绳直径缩小量达原尺寸（     ）应报废。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B.7%</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C.10%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D.12%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101.手势信号：“小臂向侧上方伸直，五指自然伸开，高于肩部，以腕部为轴转动。”表示（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A.吊钩上升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B.吊钩下降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C.转臂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D.吊钩微微上升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102.手势信号：“小臂伸向侧前上方，手心朝上高于肩部，以腕部为轴，重复向上摆动手掌”表示（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A.吊钩上升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B.吊钩下降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C.转臂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D.吊钩微微上升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103.手势信号：“两个小臂分别置于侧前方，手心相对，由两侧向中间，摆动”表示（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A.抓取</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B.释放</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C.微微转臂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D.微动范围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104.手势信号：“两手小臂分别置于侧前方，手心朝外，两臂分别向两侧摆动”表示（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A.抓取</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B.释放</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C.微微转臂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D.微动范围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105.手势信号：“两手小臂向上曲起，五指并拢，手心朝向起重机，做前后运动”表示（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A.起重机前进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B.起重机后退</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C.降臂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D.回转</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106.指挥信号两短声表示（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A.预备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B.重复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C.上升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D.下降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107.司机信号两短声表示（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A.预备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B.重复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C.上升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D.下降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108.单斗挖掘机反铲作业时，履带前缘距工作面边缘至少应保持（     ）m的安全距离。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A.2～2.5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B.1.5～2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C.1～1.5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D.0.5～1</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109.外圆的主要加工方法不包括（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A.拉削</w:t>
      </w:r>
      <w:r>
        <w:rPr>
          <w:rFonts w:hint="eastAsia" w:asciiTheme="minorEastAsia" w:hAnsiTheme="minorEastAsia" w:eastAsiaTheme="minorEastAsia" w:cstheme="minorEastAsia"/>
          <w:bCs/>
          <w:snapToGrid/>
          <w:kern w:val="2"/>
          <w:sz w:val="21"/>
          <w:szCs w:val="21"/>
        </w:rPr>
        <w:tab/>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B.车削</w:t>
      </w:r>
      <w:r>
        <w:rPr>
          <w:rFonts w:hint="eastAsia" w:asciiTheme="minorEastAsia" w:hAnsiTheme="minorEastAsia" w:eastAsiaTheme="minorEastAsia" w:cstheme="minorEastAsia"/>
          <w:bCs/>
          <w:snapToGrid/>
          <w:kern w:val="2"/>
          <w:sz w:val="21"/>
          <w:szCs w:val="21"/>
        </w:rPr>
        <w:tab/>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C.磨削</w:t>
      </w:r>
      <w:r>
        <w:rPr>
          <w:rFonts w:hint="eastAsia" w:asciiTheme="minorEastAsia" w:hAnsiTheme="minorEastAsia" w:eastAsiaTheme="minorEastAsia" w:cstheme="minorEastAsia"/>
          <w:bCs/>
          <w:snapToGrid/>
          <w:kern w:val="2"/>
          <w:sz w:val="21"/>
          <w:szCs w:val="21"/>
        </w:rPr>
        <w:tab/>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D.光整加工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110.挖掘机与1～15kV高压线的距离不得小于（     ）m。</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C.3</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D.4</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111.大型工程机械的柴油机，负荷高、转速低，一般选用粘度较（     ）的机油。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A.低</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D.不确定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112.一般小型发动机，负荷低、转速高，一般用（     ）粘度机油。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A.低</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D.不确定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113.手提行灯应采用不大于（     ）V的双圈变压器供电。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B.24</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C.36</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D.110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114.(     )一般仅用于淬硬工件孔的精加工。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A.钻孔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B.镗孔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C.拉孔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D.磨孔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115.一切事故的发生都有其发展演变的（     ）规律，只有掌握了这些规律，才能把事故消灭在萌芽之中，做到防患于未然。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A.历史</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B.自然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C.主观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D.客观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116.加强安全生产教育，增强职工（     ）是搞好安全生产的重要环节。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A.主人翁态度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B.为人民服务意识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C.自我保护意识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D.职业道德</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117.社会主义职业道德最基本的原则是（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A.向社会负责</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B.为人民服务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C.主人翁劳动态度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D.社会主义团结协作</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118.机械操作中要提高安全操作意识，在作业中做到三不伤害，即（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A.不伤害自己，不伤害他人，不伤害设备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B.不伤害自己，不伤害他人，不伤害构筑物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C.不伤害他人，不伤害设备，不伤害构筑物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D.不伤害自己，不伤害他人，不被他人伤害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119.常用的齿轮材料不包括(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A.橡胶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B.塑料</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C.结构钢</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D.铸铁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120.1英寸=（     ）英分。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A.8</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C.12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D.16</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121.1英寸=（     ）mm。</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A.24.5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B.25.4</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C.33.3</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D.45.2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122.0.8m3的钢筋混凝土重量为（     ），其密度为2.5t/m3。</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A.2.75t</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B.2.5t</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C.2t</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D.2.75t</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123.0.6m3的钢板，其密度为7.85t/m3，其重量为（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A.5.71t</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B.4.71t</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C.4.73t</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D.4.90t</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124.某用电器在220V电路中，其电阻为220Ω，则在110V的电路中，电阻值为（     ）Ω。</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A.220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B.110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C.440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D.55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125.在零件的嵌合部位、静配合处，它们之间虽然没有宏观的相对位移，但在外部变动负荷和振动的影响下，却会产生微小的滑动，此时表面上产生大量的微小氧化物磨损粉末，由此造成的磨损称为（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A.微动磨损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B.氧化磨损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C.磨料磨损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D.粘着磨损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126.国产六缸内燃机的各缸工作次序多为（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A.1—2—3—4—5—6</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B.1—6—2—5—3—4</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C.1—5—3—6—2—4</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D.1—3—5—2—4—6</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127.发动机机油油面过高应排除以下那种原因（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A.添加油量过多</w:t>
      </w:r>
      <w:r>
        <w:rPr>
          <w:rFonts w:hint="eastAsia" w:asciiTheme="minorEastAsia" w:hAnsiTheme="minorEastAsia" w:eastAsiaTheme="minorEastAsia" w:cstheme="minorEastAsia"/>
          <w:bCs/>
          <w:snapToGrid/>
          <w:kern w:val="2"/>
          <w:sz w:val="21"/>
          <w:szCs w:val="21"/>
        </w:rPr>
        <w:tab/>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B.缸垫损坏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C.喷油器雾化不良</w:t>
      </w:r>
      <w:r>
        <w:rPr>
          <w:rFonts w:hint="eastAsia" w:asciiTheme="minorEastAsia" w:hAnsiTheme="minorEastAsia" w:eastAsiaTheme="minorEastAsia" w:cstheme="minorEastAsia"/>
          <w:bCs/>
          <w:snapToGrid/>
          <w:kern w:val="2"/>
          <w:sz w:val="21"/>
          <w:szCs w:val="21"/>
        </w:rPr>
        <w:tab/>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D.增压器损坏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128.为了改善柴油机的启动性能，大多数柴油机都装有便于启动的辅助装置，根据作用不同，一般可分为（     ）两大类。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A.增压装置与预热装置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B.减压装置与预热装置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C.增压装置与加浓装置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D.减压装置与加浓装置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129.挖掘机的离合器是用来（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A.传递运动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B.传递转矩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C.传递动力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D.传递或切断动力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130.挖掘机与1kV以下的架空输电线路的距离不得小于（     ）m。</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C.3</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D.4</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131.挖掘机下坡时（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A.可空档滑行</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B.可快速行驶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C.应慢速行驶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D.视坡度情况变速驾驶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132.安装在履带架下部支承整机重力的是（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A.驱动轮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B.导向轮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C.托链轮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D.支重轮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133.卸扣如有细小裂缝，则（     ）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A.可焊修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B.应报废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C.可继续使用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D.视裂缝大小而定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134.操作人员离开驾驶室时必须将铲斗（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A.升起</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B.落地</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C.升起一半</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D.靠向臂架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135.中华人民共和国安全生产法自（     ）起执行</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 2002.10.1</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 2002.11.1</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 2002.12.1</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136.机动车在保证安全的情况下,在无限速标志的厂区内主干道行使时每小时不得超过（     ）公里</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B.20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C.30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137.驾驶员不从事驾驶工作时间（     ）以上者应重新考核</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A.6个月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B.12个月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C.18个月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138.轮式专用机械车通过急弯路时，不得超过每小时（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A.35公里</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B.30公里</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C.25公里</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D.15公里</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139.吊车、装载机、挖掘机等车辆的作业灯应能照清（     ）情况。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A.货物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B.吊钩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C.路面</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D.现场</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140.机动车行驶中，供油系统发生故障时；（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A.可以人工供油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B.可以继续行驶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C.不准人工直截供油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141.车辆距离交叉路口、弯道、窄路、陡坡、隧道多少米之内不准停车。（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B.30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C.50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142.一日三检指（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A.出车前检查、行驶中检查、收车后检查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B.停车检查、下车检查、收车检查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C.早上检查、中午检查、晚上检查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143.机动车在傍山险路陡坡处转弯时，（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A.转弯前换入低速档</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B.转弯中换入低速档</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C.转弯后换入低速档</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144.造成机油压力不足的主要原因是：机油量不够，机油泵工作不良（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A.仪表不准确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B.机油加注口盖不牢</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C.机油集滤器脏污堵塞</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145.驾驶人每天在出车前、行驶中、收车后针对汽车使用情况所做的维护为：（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A.走合维护</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B.日常维护</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C.一级维护</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146.制动踏板是（     ）的操纵装置，用以减速或停车：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A.行车制动器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B.驻车制动器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C.变速器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D.离合器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147.驾驶汽车通过较长而陡的下坡路应：（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A.不制动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B.连续制动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C.断续制动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148.机动车方向盘最大自由转动量从中间位置向左右各不得超过（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A.15度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B.20度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C.25度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149.机动车起步前观察四周，确认无妨碍行车安全的障碍后，先（     ）后起步。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A.鸣笛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B.打转向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C.挂档</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150.发动机的正常工作温度（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A.60—70℃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B.70—80℃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C.80—90℃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151.机动车辆装载超高，提高了货物的重心位置，主要影响了行驶的（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A.速度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B.稳定性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C.动力性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152.机动车的最小离地间隙是指（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A.车辆满载时，机动车的重心与地面之间的距离。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B.车辆满载时，机动车的中心与地面之间的距离。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C.车辆满载时，机动车的最低点与地面之间的距离。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153.机动车进出厂房、仓库大门、停车场、加油站、上下地中衡、危险地段、生产现场、倒车或拖带损坏车辆时最高行驶速度为（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A.10km/h</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B.5km/h</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C.8km/h</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154.倒车前要看清楚车后情况，无障碍物时，鸣号起步，选好倒车目标，并（     ）进行倒车。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A.将车门打开，将头探出对准选定的目标。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B.将车门打开，探出头，同时利用后视镜对准选定的目标。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C.利用后窗口、后视镜对准选定的目标。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155.车辆左右制动器调整不一致将会产生（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A.后翻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B.前翻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C.偏转</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156.最高车速指（     ）变速器用最高档在良好平路上所能达到的最大时速。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A.车辆满载，无拖挂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B.车辆空载，有拖挂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C.车辆满载，有拖挂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157.使用过的蓄电池，正极柱呈（     ）负极柱呈灰色。</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A.蓝色</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B.灰色</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C.深褐色</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158.曲轴的作用是接受在（     ）行程时通过连杆传递来的动力转变成扭矩。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A.进气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B.压缩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C.做功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159.上止点指活塞离曲轴中心（     ），通常指活塞的最高位置。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A.最远处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B.最近处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C.中间处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160.两眼的视野左右可达（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A.120度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B.160度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C.180度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161.路面宽度（     ）米以上的道路，应划中心线，实行分道行车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A.6米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B.8米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C.9米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162.起动发动机，待水温上升到（     ）℃以上时才能起步。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A.40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B.50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C.60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163.厂内驾驶员，除其它必备条件外，年龄还必须满（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A.16周岁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B.20周岁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C.18周岁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164.从事特种作业的人员，经过专门的培训和考核，取得什么证后方可独立操作（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A.上岗证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B.技能证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C.特种作业人员操作证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165.车辆行驶的稳定性是指（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A.纵向稳定性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B.横向稳定性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C.横向稳定性和纵向稳定性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166.蓄电池液面下降，应添加（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A.自来水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B.过滤水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C.蒸馏水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167.差速器是属于（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A.行驶系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B.传动系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C.转向系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168.柴油机进汽冲程和汽油机不同，它所进的气是（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A.柴油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B.混合气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C.空气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169.汽缸总容积与燃烧室容积的比值称为（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A.冲程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B.行程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C.压缩比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170.四冲程发动机一个工作循环曲轴旋转多少度（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A.360°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B.180°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C.720°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171.当车辆转弯时，差速器两只半轴齿轮旋转情况是（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A.转速相等</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B.转不相等</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C.两只齿轮不转</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172.油类物品着火应用（     ）灭火器。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A.二氧化碳</w:t>
      </w:r>
      <w:r>
        <w:rPr>
          <w:rFonts w:hint="eastAsia" w:asciiTheme="minorEastAsia" w:hAnsiTheme="minorEastAsia" w:eastAsiaTheme="minorEastAsia" w:cstheme="minorEastAsia"/>
          <w:bCs/>
          <w:snapToGrid/>
          <w:kern w:val="2"/>
          <w:sz w:val="21"/>
          <w:szCs w:val="21"/>
        </w:rPr>
        <w:tab/>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B.12ll</w:t>
      </w:r>
      <w:r>
        <w:rPr>
          <w:rFonts w:hint="eastAsia" w:asciiTheme="minorEastAsia" w:hAnsiTheme="minorEastAsia" w:eastAsiaTheme="minorEastAsia" w:cstheme="minorEastAsia"/>
          <w:bCs/>
          <w:snapToGrid/>
          <w:kern w:val="2"/>
          <w:sz w:val="21"/>
          <w:szCs w:val="21"/>
        </w:rPr>
        <w:tab/>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C.干粉</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173.影响制动距离的主要因素是（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A.踏板力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B.附着力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C.制动力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174.下列切削运动中，不属于主运动的是（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A.铣平面时工件的纵向移动</w:t>
      </w:r>
      <w:r>
        <w:rPr>
          <w:rFonts w:hint="eastAsia" w:asciiTheme="minorEastAsia" w:hAnsiTheme="minorEastAsia" w:eastAsiaTheme="minorEastAsia" w:cstheme="minorEastAsia"/>
          <w:bCs/>
          <w:snapToGrid/>
          <w:kern w:val="2"/>
          <w:sz w:val="21"/>
          <w:szCs w:val="21"/>
        </w:rPr>
        <w:tab/>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B.车削时工件的旋转运动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C.钻削和铣削时刀具的旋转运动</w:t>
      </w:r>
      <w:r>
        <w:rPr>
          <w:rFonts w:hint="eastAsia" w:asciiTheme="minorEastAsia" w:hAnsiTheme="minorEastAsia" w:eastAsiaTheme="minorEastAsia" w:cstheme="minorEastAsia"/>
          <w:bCs/>
          <w:snapToGrid/>
          <w:kern w:val="2"/>
          <w:sz w:val="21"/>
          <w:szCs w:val="21"/>
        </w:rPr>
        <w:tab/>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D.刨削时刀具与工件的相对往复运动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175.机动车辆的货物装卸规定不准在（     ）的坡道上横向起吊作业。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A.5%以上</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B.6%以上</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C.A.B都不对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 xml:space="preserve">答案：A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176.恶劣天气能见度在5米以内道路最大纵坡在6%以上，能见度10米以内时就以（     ）行驶。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A.5km/h</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B.10km/h</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C.停止行驶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177.车辆机油压力表指示的压力是发动机（     ）的机油压力。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A.主油道中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B.曲轴箱中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C.机油泵进油腔中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D.机油泵产生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178.车辆在紧急制动时应怎样操作（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A.同时踏下刹车踏板和离合器踏板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B.踏下刹车踏板的同时拉紧手刹车装置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C.先踏下离合器再紧急踏下刹车踏板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179.已取得特种作业操作证的人员，每几年复训一次（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B.2年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C.3年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180.形状和位置公差带是指限制实际要素变动的(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A.大小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B.位置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C.区域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181.柴油发动机怠速多少转（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A.300—400r/min</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B.500—600r/min</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C.700—800r/min</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182.制动开始时的初速度对制动距离的影响（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A.特别大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B.一般</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C.较大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183.车辆转弯时，离心力大小和车速的关系是（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A.和车速的平方成正比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B.和车速的平方成反比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C.和车速成正比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184.路面状况的附着系数越大对车辆制动距离（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A.越短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B.越长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C.无关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185.基本偏差一般指(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A.下极限偏差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B.上极限偏差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C.靠近零线的偏差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D.中偏差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186.车辆转弯时，离心力和转弯半径的关系（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A.和转弯半径成反比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B.和转弯半径成正</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C.不成比例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187.遇紧急情况避险时，应沉着冷静，坚持（     ）的处理原则。</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A.先避人后避物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B.先避车后避物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 先避车后避人</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D.先避物后避人</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188.闪点越高危险性（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A.越大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B.越小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C.无关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189.自燃点越低危险性（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A.越大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B.越小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C.无关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190.汽油是几级易燃品（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A.一级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B.二级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C.三级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191.柴油是几级易燃品（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A.一级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B.二级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C.三级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192.泡沫灭火器喷出泡沫覆盖在燃烧物表面，它的作用是（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A.隔绝空气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B.冷却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C.隔绝燃烧物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193.车辆行驶到某一里程或时限，须进行一次（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A.定期保养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B.小修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C.修理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194.车辆保养是定期（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A.强制的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B.需要的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C.规定的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195.车辆的例保应由谁来完成（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A.驾驶员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B.修理工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C.驾驶员和修理工共同</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196.车辆的一级维护是以什么为中心（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A.小修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B.调整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C.清洁、润滑、紧固</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197.机动车拖带损坏车辆的牵引索长度须在（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A.1—2米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B.3—4米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C.5—7米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198.新车载货重量不得超过原厂规定的（     ），以免新车的各部件在没有磨合好的情况下受到损伤。</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A.50%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B.80%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C.90%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199.正交路口驾驶员左右视野范围能达到最大值（     ）易于对路口左右两侧的来往车辆进行观察。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A.60度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B.70度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C.80度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200.车辆超载会造成什么危害（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A.车速减慢</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B.车辆横向打滑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C.稳定性破坏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201.发动机冒蓝烟的原因是（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A.冷却水窜入汽缸</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B.机油窜入汽缸</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C.燃油窜入汽缸</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202.一般喷油器喷油不正常，燃烧不良，所冒的烟是（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A.白烟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B.篮烟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C.黑烟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203.什么样的技术状况对安全行车起着重要作用（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A.车轮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B.灯光和喇叭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C.制动系统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204.变速杆挂不上档或自动脱档的原因是（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A.离合器分离彻底</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B.发动机转速太高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C.路面复杂没有减速慢行</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205.车辆车速过快，一般会产生（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A.操纵敏捷</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B.制动非安全区扩大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C.判断时间缩短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206.制动鼓异常发热的原因是（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A.反复使用刹车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B.高速行驶时紧急制动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C.制动器回位弹簧脱落</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207.调整转向轮的前束是哪一组件（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A.直拉杆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B.横拉杆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C.转向臂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208.车辆在行驶中，脚不要放在离合器踏板上的目的是为了保护（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A.离合器压板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B.离合器分离杠杆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C.离合器分离轴承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209.行车中与其它车辆有迎面碰撞可能时，应先（     ），并迅速踩踏制动踏板。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A.采取制动措施</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B.向左侧转向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C.向右侧稍转方向，随即适量回转</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D.采取措施保护自己的措施</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210.蓄电池放电后必须在多少h内及时补充充电（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A.12h</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B.24h</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C.48h</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211.蓄电池在使用过程中，用什么擦去电池外壳盖上和连线的酸液和灰尘（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A.酒精</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B.汽油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C.苏打水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212.发动机润滑油的作用（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A.润滑、冷却、减少阻力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B.冷却、润滑、密封、散热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C.冷却、润滑、清洗、密封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213.车辆大修是什么性质（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A.运行性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B.常规性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C.彻底恢复性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214.限流阀是用来控制与调节液压系统的（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A.流量的大小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B.压力的大小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C.流速的大小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215.电流表指示蓄电池充放电的情况，其单位为（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A.伏特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B.兆帕</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C.安培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216.限制车辆最小转弯半径是（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A.方向盘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B.转向器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C.转向节上止动螺钉</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217.地面制动力与车辆的运动方向（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A.相同</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B.相反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C.无关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218.车辆仪表板上的气压表，油压表的刻度单位是（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A.kg/mm2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B.kg/cm2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C.kg/m2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219.驾驶员在作业中除了做到自我保护外，更重要的是（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A.保护设备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B.保护国家财产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C.保护他人的生命安全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220.当空气中氧的含量低于多少就不会燃烧（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B.14%</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C.18%</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221.液压系统中安全阀的作用为（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A.控制系统压力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B.控制系统流量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C.控制系统方向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222.特种作业人员一人承托着两重安全责任；即（     ）的生命财产安全。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A.别人包括国家、集体和自己</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B.设备和自己</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C.领导和自己</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D.家庭和自己</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223.国家经贸委明确规定了（     ）种特种作业工种。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B.11</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C.15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D.20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224.只有掌握了安全生产（     ）知识,才能维护自己的合法安全生产权益不受侵害。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A.政策</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B.法规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C.法律、法规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D.操作技术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225.（     ）和科学管理是现代化管理不可分割的两个方面。</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A.标准化管理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B.技术管理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C.民主管理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D.设备管理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226.“有新机器而没有新办法是可怕的，但有新办法没有新概念更可怕”这说明（     ）在管理中的地位。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A.管理的动态控制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B.管理的创造性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C.管理的社会性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D.管理的客观性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227.下列哪项属于装卸成本固定费用（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A.装卸工人工资费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B.直接物料费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C.电力费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D.机械折旧费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228.消除机械设备有形损耗和维持其使用性能的方法是（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A.修理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B.更新</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C.技术改造</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D.提前报废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229.按零件的易损程度分减速机齿轮属于（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A.特殊易损件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B.一般易损件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C.不易磨损件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230.机械技术经济定额的种类错误的是（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A.保修费用定额</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B.保养费用定额</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C.保修间隔期定额</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D.配件消耗定额</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231.机械技术性能的主要指标，下面错误的是（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A.维修性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B.动力性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C.经济性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D.可靠性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232.国产润滑油是根据（     ）来进行分类的。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A.润滑性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B.腐蚀性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C.粘度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D.氧化安定性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233.机械大修的标志是以（     ）为基础的。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A.动力部分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B.动力部分和构架部分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C.构架部分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D.动力部分和转向部分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234.M16—6g的螺纹标注解释正确的是（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A.粗牙普通螺纹，公称直径为16mm，右旋，中径公差带和顶径公差带均为6g ，中等旋合长度。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B.粗牙普通螺纹，公称直径为16mm，左旋，中径公差带和顶径公差带均为6g ，中等旋合长度。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C.细牙普通螺纹，公称直径为16mm，右旋，中径公差带和顶径公差带均为6g ，中等旋合长度。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D.细牙普通螺纹，公称直径为16mm，左旋，中径公差带和顶径公差带均为6g ，中等旋合长度。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235.滚动轴承代号为6212的轴承，轴承内径为（     ）mm。</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A.60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B.65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C.70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D.75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236.生产中习惯把（     ）称为调质处理。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A.淬火+高温退火</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B.淬火+中温回火</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C.淬火+高温回火</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D.淬火+低温退火</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237.我国取分度圆上的压力角α=（     ）度，并规定为标准值。</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A.14.5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C.21</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D.20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238.工作时只能承受弯曲载荷而不能传递转矩的轴称为（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A.心轴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B.传动轴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C.转轴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D.定轴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239.（     ）具有强度高，过滤效果好，能在高温下工作，是一种广泛使用的精滤油器。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A.纸心式过滤器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B.线隙式过滤器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C.网式过滤器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D.烧结式过滤器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240.金属材料在受力时抵抗弹性变形的能力叫（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A.硬度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B.刚度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C.弹性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D.韧性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241.孔Ф25S7解释正确的是（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A.基本尺寸Ф25mm，S表示基本偏差代号，7表示公差等级为IT7</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B.基本尺寸Ф25mm，S表示上偏差代号，7表示公差等级为IT7</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C.基本尺寸Ф25mm，S表示下偏差代号，7表示公差等级为IT7</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D.基本尺寸Ф25mm，S表示基本偏差代号，7表示公差值为7mm。</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242.当齿数一定时，齿轮的直径将随模数m的增大而（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A.减小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B.增大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C.不变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D.不确定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243.滚动轴承代号为6215的轴承，表示轴承类型的数字为（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A.6</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C.1</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244.零件图上应注写的技术要求一般包括（     ）尺寸公差、表面形状及位置公差，零件的一些其它技术要求。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A.尺寸数字</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B.表面粗糙度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C.比例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D.材料</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245.（     ）具有压力高，流量容易调节，吸油.压油可以互换等特点。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A.柱塞泵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B.齿轮泵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C.叶片泵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D.螺杆泵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246.液压缸是依靠（     ）的变化来传递动力和运动的，密封性能的好坏直接影响液压缸的性能和效率。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A.容积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B.密封间隙</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C.间隙</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D.密封容积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247.齿轮泵在工作时，由于齿轮顶圆与泵体内壁之间存在（     ）所以压油腔的压力沿间隙从压油腔到吸油腔，在齿顶圆上的作用力是不均匀的。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A.径向间隙</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B.轴项间隙</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C.侧向间隙</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D.端面间隙</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248.我国的安全方针是：（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A.安全第一，预防为主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B.预防为主，防消结合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C.预防为主，防治结合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249.三线电缆中的红线代表（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A.零线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B.火线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C.地线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250.静电电压最高可达（     ），可现场放电，产生静电火花。</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A.50Ｖ</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B.数万伏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C.220Ｖ</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251.发生触电事故的危险电压一般是从（     ）开始的。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A.24伏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B.36伏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C.65伏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252.使用灭火器扑救火灾时要对准火焰（     ）喷射。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A.上部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B.中部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C.根部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253.安全标志分为四类,它们分别是（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A.通行标志、禁止通行标志、提示标志和警告标志</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B.禁止标志、警告标志、命令标志和提示标志</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C.禁止标志、警告标志、通行标志和提示标志</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D.禁止标志、警告标志、命令标志和通行标志</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254.正确佩戴安全帽有两个要点：一是安全帽的帽衬与帽壳之间应有一定间隙，二是（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A.必须系紧下颚带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B.必须时刻配带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C.必须涂上黄色</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255.触电事故中，绝大部分是（     ）导致人身伤亡。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A.人体接受电流遭到电击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B.烧伤</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C.电休克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256.企业新职工上岗前必须进行三级安全教育，三级安全教育时间不得少于（     ）学时。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A.8</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B.20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C.24</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D.40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257.用灭火器进行灭火的最佳位置是（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A.下风位置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B.上风或侧风位置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C.离起火点10米以上的位置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D.离起火点１０米以下的位置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258.安全宣传教育的最终目的是（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A.提高干部职工的安全生产素质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B.树立全局观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C.提高科技水平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D.其他</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259.生产经营单位必须为从业人员提供符合国家标准或者行业标准的（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A.卫生用品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B.防寒用品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C.劳动防护用品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260.《安全生产法》规定，特种作业人员必须经专门的安全作业培训考核合格，取得特种作业（     ）证书后，方可上岗作业。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A.操作资格</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B.许可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C.安全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261.安全生产管理的目的是（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A.没有事故不出危险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B.未造成人身伤亡和资产损失</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C.保证在生产经营活动中的人身安全、财产安全，促进经济的发展</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262.生产安全事故按事故性质可分为（     ）和非责任事故。</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A.高处坠落</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B.物体打击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C.责任事故</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263.“加强劳动保护，改善劳动条件”是我国宪法为保护劳动者在生产过程中的（     ）而制定的原则。</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A.安全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B.安全与健康</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C.生活和福利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264.《中华人民共和国劳动法》自（     ）起施行。</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A.1995年10月1日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B.1995年1月1日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C.1996年1月1日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265.下列轴承中，（     ）的调心性能较好。</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A.单列向心球轴承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B.双列向心球轴承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C.滚子轴承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266.俯视图应与（     ）宽相等。</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A.主视图</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B.左视图</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C.俯视图</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267.齿轮传动属于（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A.高副机构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B.低副机构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C.转动副机构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D.移动副机构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268.设备利用率是指港机（     ）台时占日历台时的比率。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A.完好</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B.工作</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C.故障</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269.设备某些性能的丧失，必须通过项修或（     ），或必须更换零部件才能恢复，称为永久性故障。</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A.大修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B.小修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C.中修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270.管理就是通过对社会组织的资源进行有效的计划、组织、（     ）和控制而实现组织目标的过程。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A.沟通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B.协调</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C.领导</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271.对于港口机械设备的交接，应交接清楚设备技术状况，对当班所发生的故障，不论是否排除，必须交代清楚，不得隐瞒，并认真填写在（     ）中。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A.设备维修保养记录</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B.机械运行日志</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C.设备履历册</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272.港机试验是设备验收中，检验（     ）是否符合预定要求的一项重要工作。</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A.港机性能</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B.外观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C.技术参数</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273.按润滑方法分，润滑可分为油雾润滑、分散润滑、集中润滑、间歇润滑、连续润滑、常压润滑、压力润滑、不循环润滑、（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A.流体静压润滑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B.液体润滑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C.循环润滑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274.当工作载荷和温度使零件产生的弹性变形量超过零件配合所允许的数值时，就将导致（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A.弹性变形失效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B.屈服失效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C.疲劳断裂实效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275.不能用于电气灭火的灭火器是（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A.二氧化碳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B.干粉</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C.泡沫</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276.装卸机械的液压油黏度是采用（     ）表示</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A.动力黏度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B.运动黏度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C.相对黏度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277.下列条件中不是内燃机驱动的特点的是（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A.过载能力不大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B.起动力矩小，不能带载起动，不能逆转</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C.容易实现较大范围内的调速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D.结构复杂，尺寸较大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278.以下哪种情况不是造成轴承过热的原因（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A.轴承中有污物进入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B.轴承间隙过紧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C.轴承滚珠磨损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D.润滑不良或润滑脂过多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279.金属材料冲切韧性的大小与（     ）有关。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A.温度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B.压力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C.体积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D.强度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280.下列齿轮油（按SVE粘度分类）哪种是冬季用的？（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A.80W</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B.90W</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C.250W</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D.30W</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281.蓄电池电解液密度随放电量增加而（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A.增加</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B.降低</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C.不变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282.发电机中性点输出电压是发电机输出电压的（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B.1/4</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C.1/3</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D.1/2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283.起动机检修过程中属于电枢不正常现象是（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A.换向器与电枢间的绝缘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B.换向器与电枢铁心间的绝缘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C.各换向片间的绝缘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D.整流片间导通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284.直流串励式起动机中的串励是指（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A.励磁绕组和电枢绕组串联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B.吸引线圈和电枢绕组串联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C.吸引线圈和保持线圈串联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285.减速起动机和常见的起动机的主要区别是（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A.直流电动机</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B.控制装置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C.传动机构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286.下列不会引起起动机运转无力的是（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A.吸引线圈短路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B.蓄电池亏电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C.换向器脏污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D.电磁开关接触不良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287.起动机空转的原因之一是（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A.电刷过短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B.单向离合器打滑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C.蓄电池亏电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D.电磁开关接触不良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288.现代绝大多数电控喷射均采用（     ）喷射方式。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A.同时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B.顺序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C.分组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D.连续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289.（     ）曲轴位置传感器工作原理和交流发电机相类似。</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A.磁感应式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B.光电式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C.光电和霍尔式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290.在检测电脑线束结口电压时，必须使用（     ），否则会损坏电脑。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A.高阻抗电压表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B.低阻抗电压表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C.串联电阻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D.二级管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291.下列元件中哪一个不是电控喷射系统的执行器（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A.怠速控制阀</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B.电磁喷油器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C.油压缓冲器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D.燃料泵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292.转速传感器传感头与齿轮圈的间隙是（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A.1---1.5mm</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B.1.5---2mm</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C.0.5----1.0mm</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293.关于欧姆定律的下列说法中，正确的是（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A.导体两端的电压相同，通过电流越大的导体其电阻越大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B.导体中通过一定的电流所需的电压越小，导体的电阻就越大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C.一段导体的电阻跟它两端的电压成正比，跟通过它的电流成反比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D.对一定的导体，流过它的电流跟加在它两端的电压成正比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294.两只灯泡分别接在两个电路中，下列判断正确的是（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A.额定电压大的灯泡较亮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B.额定功率大的灯泡较亮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C.接在电压高的电路两端的那个灯泡较亮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295.下列关于电阻率的叙述，错误的是（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A.当温度极低时，超导材料的电阻率会突然减小到零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B.常用的导线是用电阻率较小的铝、铜材料制成的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C.导体材料的电阻率取决于导体的电阻、横截面积和长度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D.导体材料的电阻率随温度的变化而变化</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296.一个开关可以同时控制额定电压相同的两盏灯和一个电铃，则这两盏灯和电铃是（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A.并联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B.串联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C.两盏灯串联后与电铃并联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D.无法判断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297.下列实际电器属于并联连接的是（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A.灯和开关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B.手电筒里的电池</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C.灯和电铃</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D.电铃和开关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298.有三个电阻：R1＞R2＞R3，将它们并联后，接到电压为U的电源上，取用电功率最大的电阻是（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A.R1</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B.R2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C.R3</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D.无法判断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299.在实训中测量电源电压时，如果误将电流表作为电压表来使用，产生的后果是（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A.断路，电路中没有电流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B.短路，将电流表烧损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C.没有影响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D.测量结果不准确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300.在机械零件的各摩擦副中，它无论在何种摩擦过程中及何种摩擦速度下，也无论接触压力大小和是否存在润滑情况下都会发生（     ），它是最广泛的一种磨损形态。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A.疲劳磨损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B.氧化磨损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C.磨料磨损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D.粘着磨损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301.下列材料中不能用来制造刀具的是（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A.高碳钢</w:t>
      </w:r>
      <w:r>
        <w:rPr>
          <w:rFonts w:hint="eastAsia" w:asciiTheme="minorEastAsia" w:hAnsiTheme="minorEastAsia" w:eastAsiaTheme="minorEastAsia" w:cstheme="minorEastAsia"/>
          <w:bCs/>
          <w:snapToGrid/>
          <w:kern w:val="2"/>
          <w:sz w:val="21"/>
          <w:szCs w:val="21"/>
        </w:rPr>
        <w:tab/>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B.低碳钢</w:t>
      </w:r>
      <w:r>
        <w:rPr>
          <w:rFonts w:hint="eastAsia" w:asciiTheme="minorEastAsia" w:hAnsiTheme="minorEastAsia" w:eastAsiaTheme="minorEastAsia" w:cstheme="minorEastAsia"/>
          <w:bCs/>
          <w:snapToGrid/>
          <w:kern w:val="2"/>
          <w:sz w:val="21"/>
          <w:szCs w:val="21"/>
        </w:rPr>
        <w:tab/>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C.硬质合金</w:t>
      </w:r>
      <w:r>
        <w:rPr>
          <w:rFonts w:hint="eastAsia" w:asciiTheme="minorEastAsia" w:hAnsiTheme="minorEastAsia" w:eastAsiaTheme="minorEastAsia" w:cstheme="minorEastAsia"/>
          <w:bCs/>
          <w:snapToGrid/>
          <w:kern w:val="2"/>
          <w:sz w:val="21"/>
          <w:szCs w:val="21"/>
        </w:rPr>
        <w:tab/>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D.高速钢</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302.判断磁场对通电导体作用力的方向，用（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A.左手定则</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B.右手定则</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C.安培定则</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303.在保证润滑的前提下，尽量选用（     ）粘度的润滑油。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A.低</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D.多级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304.当通电导体和磁场平行时，导体受到的电磁力为（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A.4.8N</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C.20N</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305.铁磁材料磁化过程中与去磁过程中的B—H曲线不重合的现象是（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A.涡流现象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B.磁滞现象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C.磁饱和现象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D.抗磁现象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306.磁阻的大小与磁路中的（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A.磁力线的平均长度成反比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B.磁导率成正比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C.磁导率成反比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D.横截面积成正比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307.线圈中感生电流的磁场方向与原磁场方向的关系是（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A.相同</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B.相反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C.阻碍变化</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D.无关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308.对电感意义的叙述，（     ）的说法不正确。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A.线圈中的自感电动势为零时，线圈的电感为零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B.电感是线圈的固有参数</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C.电感的大小决定于线圈的几何尺寸和介质的磁导率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D.电感反映了线圈产生自感电动势的能力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309.装卸机械常用蓄电池的类型不包括（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A.锌锰电池</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B.免维护蓄电池</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C.干荷电蓄电池</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D.湿荷电蓄电池</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310.蓄电池的主要组成部分不包括（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A.极板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B.隔板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C.电解液</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D.电瓶夹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311.电解液的密度一般为（     ）g/cm3。</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A.0.91-1.2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B.1.10-1.24</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C.1.24-1.30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D.1.4-2.3</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312.外壳用来盛放极板组和电解液，不具有（     ）的特性。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A.耐酸</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B.耐热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C.耐碱</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D.耐振动冲击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313.蓄电池的充电方法不包含（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A.定电压充电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B.定电流充电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C.定电阻充电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D.脉冲快速充电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314.免维护蓄电池的使用特点不包括（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A.无需补加蒸馏水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B.自放电少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C.价格便宜</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D.使用寿命长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315.新干荷蓄电池加足电解液后，需静止防置（     ）min后方可使用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A.5-10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B.10-20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C.20-30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D.0-60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316.正常情况下，水温表的指示值应为（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A.65—75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B.75—85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C.85—95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D.95--105</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317.发动机的有效转矩与曲轴角速度的乘积称之为（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A.指示功率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B.有效功率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C.最大转矩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D.最大功率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318.发动机在某一转速发出的功率与同一转速下所可能发出的最大功率之比称之为（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A.发动机工况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B.有效功率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C.工作效率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D.发动机负荷</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319.燃油消耗率最低的负荷是（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A.发动机怠速时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B.发动机大负荷时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C.发动机中等负荷时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D.发动机小负荷时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320.汽油机与柴油机相比，汽油机还包括一个（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A.供给系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B.点火系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C.起动系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D.冷却系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321.（     ）是维持发动机工作循环，实现能量转换的机构。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A.机体组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B.活塞连杆组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C.曲柄连杆机构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D.配气机构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322.在曲柄连杆机构中，（     ）是曲轴的支撑部分。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A.主轴颈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B.连杆轴颈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C.曲柄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D.平衡重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323.（     ）配气机构适用于高速发动机。</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A.下置凸轮轴式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B.中置凸轮轴式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C.上置凸轮轴式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D.侧置凸轮轴式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 xml:space="preserve">答案：C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324.柴油机燃料供给系高压油路中的油压是由（     ）建立的。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A.输油泵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B.喷油泵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C.喷油器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D.油压调节器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325.柴油机燃料供给系混合气的形成是在（     ）内完成的。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A.进气管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B.进气道</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C.喷油器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D.燃烧室</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326.对于柴油机柱塞式喷油泵，（     ）是依靠柱塞的旋转运动完成。</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A.进油过程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B.压油过程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C.回油过程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D.供油量的调节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327.润滑系集滤器一般安装在（     ）中。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A.主油道</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B.机油泵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C.油底壳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D.分油道</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328.柴油机进气管的作用是（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A.较均匀地分配可燃混合气到各气缸中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B.较均匀地分配空气到各气缸中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C.继续使可燃混合气和油膜得到汽化</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D.预热空气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329.油浴式滤清器的特点是（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A.质量轻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B.成本低</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C.滤清效率高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D.使用寿命相对较长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330.柴油机喷油器安装在（     ）中。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A.进气管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B.喷油泵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C.高压油管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D.气缸盖的座孔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331.发动机多采用以（     ）润滑为主，飞溅润滑为辅的综合润滑方式。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A.重力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B.燃烧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C.压力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D.油杯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332.发动机主轴承，连杆轴承一般采用（     ）润滑方式。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A.重力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B.压力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C.飞溅</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D.燃烧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333.润滑系由油底壳、机油集滤器、（     ）、机油滤清器、限压阀、旁通阀、机油压力表、油尺或机油报警灯及油道等组成。</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A.燃油泵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B.机油泵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C.输油泵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D.柱塞泵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334.发动机活塞、气缸壁和活塞销等的工作表面一般采用（     ）润滑方式。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A.重力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B.压力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C.飞溅</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D.燃烧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335.主减速器的作用是（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A.减小扭矩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B.降低转速增大扭矩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C.增大转速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D.增大附着力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336.两摩擦表面被包括润滑油在内的各种流体完全隔开的摩擦,称为（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A.流体摩擦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B.边界摩擦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C.磨料磨损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337.两摩擦面被润滑油完全隔开，几乎没有磨损的润滑状态是理想的状态。这种由极薄油膜隔开的摩擦称为（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A.流体摩擦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B.边界摩擦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C.磨料磨损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338.硬的颗粒夹在摩擦表面里所引起的磨损称为（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A.流体摩擦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B.边界摩擦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C.磨料磨损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339.在滚动或滚动加滑动摩擦中，由于接触应力反复作用，使摩擦表面产生的磨损和剥落的现象称为（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A.疲劳磨损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B.氧化磨损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C.磨料磨损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D.粘着磨损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340.严重固体摩擦的结果会使摩擦副“咬死”，称为（     ），它是严重破坏机械零件的一种磨损。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A.疲劳磨损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B.氧化磨损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C.磨料磨损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D.粘着磨损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lang w:val="en-US" w:eastAsia="zh-CN"/>
        </w:rPr>
        <w:t>341</w:t>
      </w:r>
      <w:r>
        <w:rPr>
          <w:rFonts w:hint="eastAsia" w:asciiTheme="minorEastAsia" w:hAnsiTheme="minorEastAsia" w:eastAsiaTheme="minorEastAsia" w:cstheme="minorEastAsia"/>
          <w:bCs/>
          <w:snapToGrid/>
          <w:kern w:val="2"/>
          <w:sz w:val="21"/>
          <w:szCs w:val="21"/>
        </w:rPr>
        <w:t>.港口货物吞吐量：指经由水路进、出港区范围，并经过装卸的货物数量。按货物流向分为进港吞吐量和出港吞吐量，按货物的贸易性质分为</w:t>
      </w:r>
      <w:r>
        <w:rPr>
          <w:rFonts w:hint="eastAsia" w:asciiTheme="minorEastAsia" w:hAnsiTheme="minorEastAsia" w:eastAsiaTheme="minorEastAsia" w:cstheme="minorEastAsia"/>
          <w:bCs/>
          <w:snapToGrid/>
          <w:kern w:val="2"/>
          <w:sz w:val="21"/>
          <w:szCs w:val="21"/>
          <w:lang w:eastAsia="zh-CN"/>
        </w:rPr>
        <w:t>(     )</w:t>
      </w:r>
      <w:r>
        <w:rPr>
          <w:rFonts w:hint="eastAsia" w:asciiTheme="minorEastAsia" w:hAnsiTheme="minorEastAsia" w:eastAsiaTheme="minorEastAsia" w:cstheme="minorEastAsia"/>
          <w:bCs/>
          <w:snapToGrid/>
          <w:kern w:val="2"/>
          <w:sz w:val="21"/>
          <w:szCs w:val="21"/>
        </w:rPr>
        <w:t>和</w:t>
      </w:r>
      <w:r>
        <w:rPr>
          <w:rFonts w:hint="eastAsia" w:asciiTheme="minorEastAsia" w:hAnsiTheme="minorEastAsia" w:eastAsiaTheme="minorEastAsia" w:cstheme="minorEastAsia"/>
          <w:bCs/>
          <w:snapToGrid/>
          <w:kern w:val="2"/>
          <w:sz w:val="21"/>
          <w:szCs w:val="21"/>
          <w:lang w:eastAsia="zh-CN"/>
        </w:rPr>
        <w:t>(     )</w:t>
      </w:r>
      <w:r>
        <w:rPr>
          <w:rFonts w:hint="eastAsia" w:asciiTheme="minorEastAsia" w:hAnsiTheme="minorEastAsia" w:eastAsiaTheme="minorEastAsia" w:cstheme="minorEastAsia"/>
          <w:bCs/>
          <w:snapToGrid/>
          <w:kern w:val="2"/>
          <w:sz w:val="21"/>
          <w:szCs w:val="21"/>
        </w:rPr>
        <w:t>吞吐量。</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 xml:space="preserve">A.进口 出口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 xml:space="preserve">B.内贸 外贸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 xml:space="preserve">C.进港 出港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D.装船 卸船</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342.《中华人民共和国安全生产法》规定：安全生产工作应当以人为本，坚持安全发展，坚持（     ）方针。</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A.预防为主</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综合治理</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B.安全第一</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预防为主</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C.安全第一</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预防为主</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综合治理</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D.安全第一</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预防为主</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防控结合</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343.《中华人民共和国安全生产法》规定：生产经营单位必须建立</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健全（     ）和安全生产规章制度，改善安全生产条件。</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A.安全生产标准</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B.安全防护设施</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C.安全生产责任制</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D.安全责任制</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344.危险物品的生产</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经营</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储存单位以及矿山</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建筑施工单位的主要负责人和安全生产管理人员，应当有有关主管部门对其（     ）考核合格后方可任职。</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A.安全生产知识和管理能力</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B.安全生产经营能力</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C.安全生产水平状况</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D.安全知识和操作技能</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345.从事危险货物作业的港口经营人应当对本单位的安全生产条件每（     ）年进行一次安全评价，提出安全评价报告。</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A.1年</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B.2年</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C.3年</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D.4年</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346.国家实行（     ）制度，依照本法和有关法律.法规的规定，追究生产安全事故责任人员的法律责任。</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A.生产安全事故责任人追究</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B.安全事故责任追究</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C.生产事故责任追究</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D.生产安全事故责任追究</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347.《职业病防治法》是为了（     ）和消除职业病危害，防治职业病，保护劳动者健康及其相关权益，促进经济发展，根据宪法而制定。</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A.安全生产</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B.劳动保护</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C.预防控制</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D.保护健康</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348.生产经营单位应当针对本单位可能发生的生产安全事故的（     ），进行风险辨识和评估，制定相应的生产安全事故应急救援预案，并向本单位从业人员公布。</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A.特点和危害</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B.特点和风险</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C.程度和危害</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D.程度和危害</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349.港务监督部门必须在收到（     ）审核批准的“船申报”后才允许船舶装载危险货物。</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A.公安局</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B.检验检疫局</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C.海事局</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D.港务局</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350.从业人员发现事故隐患或者其他不安全因素，应当（     ）向现场安全生产管理人员或者本单位负责人报告；接到报告的人员应当及时予以处理。</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A.在8小时内</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B.在4小时内</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C.在1小时内</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D.立即</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351.生产安全事故应急救援预案应当符合有关法律.法规.规章和标准的规定，具有（     ）.针对性和可操作性。</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A.制度性</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B.科学性</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C.可行性</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D.合理性</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352.在职员工要根据工作环境的危害因素严重情况制定健康检查周期。对于长期接触有毒有害物质的岗位员工健康检查周期为（     ）一查。</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A.1年</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B.2年</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C.3年</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D.4年</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353.现场急救，对伤者常用的搬运方法是（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A．徒手搬运和担架搬运</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B．徒手搬运</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C．担架搬运</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D．机械搬运</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354.绷带包扎法中最基本的方法是（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A．环形绷带法</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B.“S”形包扎法</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C.“8”字形包扎法</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D.以上都是</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355.一旦发现有人触电，应首先应采取的措施是（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A.把触电者送往医院抢救</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B.切断电源</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C.现场立即对触电者进行触电急救</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D.打“120”救护电话，请医生赶来抢救</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356.凡在坠落高度基准面大于等于（     ）,有可能坠落的高处进行作业都称为高处作业。</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A.5米</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B.4米</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C.3米</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D.2米</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357.突发公共事件预警级别从“一般”到“特别严重”依次用（     ）表示。</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A.红色.黄色.橙色.蓝色</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B.蓝色.黄色.红色.橙色</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C.蓝色.黄色.橙色.红色</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D.红色.橙色.黄色.蓝色</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358.关于防颗粒物口罩的有效佩戴，以下正确的是（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A.必须覆盖口鼻，密合良好，不漏气</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B.不需完全密合，可松一点，方便呼吸</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C.可以略露出一点鼻子</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D.佩戴舒适是第一原则</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359.职业病，是指（     ）的劳动者在职业活动中，因接触粉尘.放射性物质和其他有毒.有害因素而引起的疾病。</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A．企业.事业单位</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B．企业.事业单位和个体经济组织</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C．企业.政府单位</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D．企业.政府单位和事业单位</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360.转移危险废物的，必须按国家有关规定填写（     ），并向危险废物移出地区的市级以上地方人民政府环境保护主管部门提出申请。</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A.一般废物转移联单</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B.一般废物登记表</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C.危险废物转移联单</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D.垃圾登记表</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361.危险品液体泄漏应及时进行（     ）</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稀释</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收容</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处理。</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A．覆盖</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B．填埋</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C．烧毁</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D．冲洗</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362.（     ）是指由应急组织的代表或关键岗位人员参加的，按照应急预案及其标准工作程序，讨论紧急情况时应采取的行动的演练活动。</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A.应急演练</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B.桌面演练</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C.功能演练</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D.全面演练</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363.为全面贯彻落实习近平总书记对技能人才工作的重要指示精神，更好地在全社会弘扬精益求精的（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A.工匠精神</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B.创新精神</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C.敬业精神</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D.实干精神</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364.国家开展职业技能竞赛，为广大技能人才提供了展示精湛技能.相互切磋技艺的平台，对壮大技术工人队伍.推动经济社会发展具有积极作用，展现新时代（     ）的风采。</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A.技能人才</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B.设计师</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C.管理人才</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D.企业职工</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lang w:val="en-US" w:eastAsia="zh-CN"/>
        </w:rPr>
        <w:t>365</w:t>
      </w:r>
      <w:r>
        <w:rPr>
          <w:rFonts w:hint="eastAsia" w:asciiTheme="minorEastAsia" w:hAnsiTheme="minorEastAsia" w:eastAsiaTheme="minorEastAsia" w:cstheme="minorEastAsia"/>
          <w:bCs/>
          <w:snapToGrid/>
          <w:kern w:val="2"/>
          <w:sz w:val="21"/>
          <w:szCs w:val="21"/>
        </w:rPr>
        <w:t>.国有企业党委由党员大会或者党员代表大会选举产生，每届任期一般为</w:t>
      </w:r>
      <w:r>
        <w:rPr>
          <w:rFonts w:hint="eastAsia" w:asciiTheme="minorEastAsia" w:hAnsiTheme="minorEastAsia" w:eastAsiaTheme="minorEastAsia" w:cstheme="minorEastAsia"/>
          <w:bCs/>
          <w:snapToGrid/>
          <w:kern w:val="2"/>
          <w:sz w:val="21"/>
          <w:szCs w:val="21"/>
          <w:lang w:eastAsia="zh-CN"/>
        </w:rPr>
        <w:t>(     )</w:t>
      </w:r>
      <w:r>
        <w:rPr>
          <w:rFonts w:hint="eastAsia" w:asciiTheme="minorEastAsia" w:hAnsiTheme="minorEastAsia" w:eastAsiaTheme="minorEastAsia" w:cstheme="minorEastAsia"/>
          <w:bCs/>
          <w:snapToGrid/>
          <w:kern w:val="2"/>
          <w:sz w:val="21"/>
          <w:szCs w:val="21"/>
        </w:rPr>
        <w:t>。党总支和支部委员会由党员大会选举产生，每届任期一般为</w:t>
      </w:r>
      <w:r>
        <w:rPr>
          <w:rFonts w:hint="eastAsia" w:asciiTheme="minorEastAsia" w:hAnsiTheme="minorEastAsia" w:eastAsiaTheme="minorEastAsia" w:cstheme="minorEastAsia"/>
          <w:bCs/>
          <w:snapToGrid/>
          <w:kern w:val="2"/>
          <w:sz w:val="21"/>
          <w:szCs w:val="21"/>
          <w:lang w:eastAsia="zh-CN"/>
        </w:rPr>
        <w:t>(     )</w:t>
      </w:r>
      <w:r>
        <w:rPr>
          <w:rFonts w:hint="eastAsia" w:asciiTheme="minorEastAsia" w:hAnsiTheme="minorEastAsia" w:eastAsiaTheme="minorEastAsia" w:cstheme="minorEastAsia"/>
          <w:bCs/>
          <w:snapToGrid/>
          <w:kern w:val="2"/>
          <w:sz w:val="21"/>
          <w:szCs w:val="21"/>
        </w:rPr>
        <w:t>。任期届满应当按期进行换届选举。</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 xml:space="preserve">A.3年 3年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B.5年 3年</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 xml:space="preserve">C.2年 3年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D.3年 5年</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lang w:val="en-US" w:eastAsia="zh-CN"/>
        </w:rPr>
        <w:t>366</w:t>
      </w:r>
      <w:r>
        <w:rPr>
          <w:rFonts w:hint="eastAsia" w:asciiTheme="minorEastAsia" w:hAnsiTheme="minorEastAsia" w:eastAsiaTheme="minorEastAsia" w:cstheme="minorEastAsia"/>
          <w:bCs/>
          <w:snapToGrid/>
          <w:kern w:val="2"/>
          <w:sz w:val="21"/>
          <w:szCs w:val="21"/>
        </w:rPr>
        <w:t>.安全生产工作应当以人为本，坚持人民至上、生命至上，把保护人民生命安全摆在首位，树牢安全发展理念，坚持</w:t>
      </w:r>
      <w:r>
        <w:rPr>
          <w:rFonts w:hint="eastAsia" w:asciiTheme="minorEastAsia" w:hAnsiTheme="minorEastAsia" w:eastAsiaTheme="minorEastAsia" w:cstheme="minorEastAsia"/>
          <w:bCs/>
          <w:snapToGrid/>
          <w:kern w:val="2"/>
          <w:sz w:val="21"/>
          <w:szCs w:val="21"/>
          <w:lang w:eastAsia="zh-CN"/>
        </w:rPr>
        <w:t>(     )</w:t>
      </w:r>
      <w:r>
        <w:rPr>
          <w:rFonts w:hint="eastAsia" w:asciiTheme="minorEastAsia" w:hAnsiTheme="minorEastAsia" w:eastAsiaTheme="minorEastAsia" w:cstheme="minorEastAsia"/>
          <w:bCs/>
          <w:snapToGrid/>
          <w:kern w:val="2"/>
          <w:sz w:val="21"/>
          <w:szCs w:val="21"/>
        </w:rPr>
        <w:t>的方针，从源头上防范化解重大安全风险。</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A.安全第一、综合治理</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B.预防为主、综合治理</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 xml:space="preserve">C.安全第一、预防为主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D.安全第一、预防为主、综合治理</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lang w:val="en-US" w:eastAsia="zh-CN"/>
        </w:rPr>
        <w:t>367</w:t>
      </w:r>
      <w:r>
        <w:rPr>
          <w:rFonts w:hint="eastAsia" w:asciiTheme="minorEastAsia" w:hAnsiTheme="minorEastAsia" w:eastAsiaTheme="minorEastAsia" w:cstheme="minorEastAsia"/>
          <w:bCs/>
          <w:snapToGrid/>
          <w:kern w:val="2"/>
          <w:sz w:val="21"/>
          <w:szCs w:val="21"/>
        </w:rPr>
        <w:t>.安全生产工作实行管行业必须管安全、管业务必须管安全、</w:t>
      </w:r>
      <w:r>
        <w:rPr>
          <w:rFonts w:hint="eastAsia" w:asciiTheme="minorEastAsia" w:hAnsiTheme="minorEastAsia" w:eastAsiaTheme="minorEastAsia" w:cstheme="minorEastAsia"/>
          <w:bCs/>
          <w:snapToGrid/>
          <w:kern w:val="2"/>
          <w:sz w:val="21"/>
          <w:szCs w:val="21"/>
          <w:lang w:eastAsia="zh-CN"/>
        </w:rPr>
        <w:t>(     )</w:t>
      </w:r>
      <w:r>
        <w:rPr>
          <w:rFonts w:hint="eastAsia" w:asciiTheme="minorEastAsia" w:hAnsiTheme="minorEastAsia" w:eastAsiaTheme="minorEastAsia" w:cstheme="minorEastAsia"/>
          <w:bCs/>
          <w:snapToGrid/>
          <w:kern w:val="2"/>
          <w:sz w:val="21"/>
          <w:szCs w:val="21"/>
        </w:rPr>
        <w:t>，强化和落实生产经营单位的主体责任与政府监管责任，建立生产经营单位负责、职工参与、政府监管、行业自律和社会监督的机制。</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 xml:space="preserve">A.管企业发展必须管安全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B.管设备管理必须管安全</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 xml:space="preserve">C.管生产经营必须管安全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D.管战略规划必须管安全</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lang w:val="en-US" w:eastAsia="zh-CN"/>
        </w:rPr>
        <w:t>368</w:t>
      </w:r>
      <w:r>
        <w:rPr>
          <w:rFonts w:hint="eastAsia" w:asciiTheme="minorEastAsia" w:hAnsiTheme="minorEastAsia" w:eastAsiaTheme="minorEastAsia" w:cstheme="minorEastAsia"/>
          <w:bCs/>
          <w:snapToGrid/>
          <w:kern w:val="2"/>
          <w:sz w:val="21"/>
          <w:szCs w:val="21"/>
        </w:rPr>
        <w:t>.生产经营单位新建、改建、扩建工程项目的安全设施，必须与主体工程同时设计、同时施工、</w:t>
      </w:r>
      <w:r>
        <w:rPr>
          <w:rFonts w:hint="eastAsia" w:asciiTheme="minorEastAsia" w:hAnsiTheme="minorEastAsia" w:eastAsiaTheme="minorEastAsia" w:cstheme="minorEastAsia"/>
          <w:bCs/>
          <w:snapToGrid/>
          <w:kern w:val="2"/>
          <w:sz w:val="21"/>
          <w:szCs w:val="21"/>
          <w:lang w:eastAsia="zh-CN"/>
        </w:rPr>
        <w:t>(     )</w:t>
      </w:r>
      <w:r>
        <w:rPr>
          <w:rFonts w:hint="eastAsia" w:asciiTheme="minorEastAsia" w:hAnsiTheme="minorEastAsia" w:eastAsiaTheme="minorEastAsia" w:cstheme="minorEastAsia"/>
          <w:bCs/>
          <w:snapToGrid/>
          <w:kern w:val="2"/>
          <w:sz w:val="21"/>
          <w:szCs w:val="21"/>
        </w:rPr>
        <w:t>。安全设施投资应当纳入建设项目概算。</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 xml:space="preserve">A.同时投产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B.同时投入生产和使用</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 xml:space="preserve">C.同时使用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D.同时改造</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lang w:val="en-US" w:eastAsia="zh-CN"/>
        </w:rPr>
        <w:t>369</w:t>
      </w:r>
      <w:r>
        <w:rPr>
          <w:rFonts w:hint="eastAsia" w:asciiTheme="minorEastAsia" w:hAnsiTheme="minorEastAsia" w:eastAsiaTheme="minorEastAsia" w:cstheme="minorEastAsia"/>
          <w:bCs/>
          <w:snapToGrid/>
          <w:kern w:val="2"/>
          <w:sz w:val="21"/>
          <w:szCs w:val="21"/>
        </w:rPr>
        <w:t>.生产经营单位应当建立健全并落实</w:t>
      </w:r>
      <w:r>
        <w:rPr>
          <w:rFonts w:hint="eastAsia" w:asciiTheme="minorEastAsia" w:hAnsiTheme="minorEastAsia" w:eastAsiaTheme="minorEastAsia" w:cstheme="minorEastAsia"/>
          <w:bCs/>
          <w:snapToGrid/>
          <w:kern w:val="2"/>
          <w:sz w:val="21"/>
          <w:szCs w:val="21"/>
          <w:lang w:eastAsia="zh-CN"/>
        </w:rPr>
        <w:t>(     )</w:t>
      </w:r>
      <w:r>
        <w:rPr>
          <w:rFonts w:hint="eastAsia" w:asciiTheme="minorEastAsia" w:hAnsiTheme="minorEastAsia" w:eastAsiaTheme="minorEastAsia" w:cstheme="minorEastAsia"/>
          <w:bCs/>
          <w:snapToGrid/>
          <w:kern w:val="2"/>
          <w:sz w:val="21"/>
          <w:szCs w:val="21"/>
        </w:rPr>
        <w:t>，采取技术、管理措施，及时发现并消除事故隐患。</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A.安全风险分级管控制度</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B.生产安全事故隐患排查治理制度</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C.单位负责人带班制度</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D.安全生产各项规章制度</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370.中国梦的基本内涵是实现</w:t>
      </w:r>
      <w:r>
        <w:rPr>
          <w:rFonts w:hint="eastAsia" w:asciiTheme="minorEastAsia" w:hAnsiTheme="minorEastAsia" w:eastAsiaTheme="minorEastAsia" w:cstheme="minorEastAsia"/>
          <w:bCs/>
          <w:snapToGrid/>
          <w:kern w:val="2"/>
          <w:sz w:val="21"/>
          <w:szCs w:val="21"/>
        </w:rPr>
        <w:t>（     ）</w:t>
      </w:r>
      <w:r>
        <w:rPr>
          <w:rFonts w:hint="eastAsia" w:asciiTheme="minorEastAsia" w:hAnsiTheme="minorEastAsia" w:eastAsiaTheme="minorEastAsia" w:cstheme="minorEastAsia"/>
          <w:bCs/>
          <w:snapToGrid/>
          <w:kern w:val="2"/>
          <w:sz w:val="21"/>
          <w:szCs w:val="21"/>
          <w:lang w:val="en-US" w:eastAsia="zh-CN"/>
        </w:rPr>
        <w:t>。</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A.国家富强、民族振兴、人民幸福</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B.国家统一、民族振兴</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C.安定团结、社会和谐</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D.“两个一百年”奋斗目标</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371.中国共产党人的初心和使命，就是为中国人民(     )，为中华民族(     )。这个初心和使命是激励中国共产党人不断前进的根本动力。</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A.</w:t>
      </w:r>
      <w:r>
        <w:rPr>
          <w:rFonts w:hint="eastAsia" w:asciiTheme="minorEastAsia" w:hAnsiTheme="minorEastAsia" w:eastAsiaTheme="minorEastAsia" w:cstheme="minorEastAsia"/>
          <w:bCs/>
          <w:snapToGrid/>
          <w:kern w:val="2"/>
          <w:sz w:val="21"/>
          <w:szCs w:val="21"/>
          <w:lang w:val="en-US" w:eastAsia="zh-CN"/>
        </w:rPr>
        <w:t>谋幸福，谋未来</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B.</w:t>
      </w:r>
      <w:r>
        <w:rPr>
          <w:rFonts w:hint="eastAsia" w:asciiTheme="minorEastAsia" w:hAnsiTheme="minorEastAsia" w:eastAsiaTheme="minorEastAsia" w:cstheme="minorEastAsia"/>
          <w:bCs/>
          <w:snapToGrid/>
          <w:kern w:val="2"/>
          <w:sz w:val="21"/>
          <w:szCs w:val="21"/>
          <w:lang w:val="en-US" w:eastAsia="zh-CN"/>
        </w:rPr>
        <w:t>谋生活，谋复兴</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C.</w:t>
      </w:r>
      <w:r>
        <w:rPr>
          <w:rFonts w:hint="eastAsia" w:asciiTheme="minorEastAsia" w:hAnsiTheme="minorEastAsia" w:eastAsiaTheme="minorEastAsia" w:cstheme="minorEastAsia"/>
          <w:bCs/>
          <w:snapToGrid/>
          <w:kern w:val="2"/>
          <w:sz w:val="21"/>
          <w:szCs w:val="21"/>
          <w:lang w:val="en-US" w:eastAsia="zh-CN"/>
        </w:rPr>
        <w:t>谋幸福，谋复兴</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D.</w:t>
      </w:r>
      <w:r>
        <w:rPr>
          <w:rFonts w:hint="eastAsia" w:asciiTheme="minorEastAsia" w:hAnsiTheme="minorEastAsia" w:eastAsiaTheme="minorEastAsia" w:cstheme="minorEastAsia"/>
          <w:bCs/>
          <w:snapToGrid/>
          <w:kern w:val="2"/>
          <w:sz w:val="21"/>
          <w:szCs w:val="21"/>
          <w:lang w:val="en-US" w:eastAsia="zh-CN"/>
        </w:rPr>
        <w:t>谋生活，谋未来</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372.中国共产党人深刻认识到，只有把马克思主义基本原理同中国具体实际相结合、同(     )相结合，坚持运用辩证唯物主义和历史唯物主义，才能正确回答时代和实践提出的重大问题，才能始终保持马克思主义的蓬勃生机和旺盛活力。</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A.</w:t>
      </w:r>
      <w:r>
        <w:rPr>
          <w:rFonts w:hint="eastAsia" w:asciiTheme="minorEastAsia" w:hAnsiTheme="minorEastAsia" w:eastAsiaTheme="minorEastAsia" w:cstheme="minorEastAsia"/>
          <w:bCs/>
          <w:snapToGrid/>
          <w:kern w:val="2"/>
          <w:sz w:val="21"/>
          <w:szCs w:val="21"/>
          <w:lang w:val="en-US" w:eastAsia="zh-CN"/>
        </w:rPr>
        <w:t>中华优秀传统文化</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B.</w:t>
      </w:r>
      <w:r>
        <w:rPr>
          <w:rFonts w:hint="eastAsia" w:asciiTheme="minorEastAsia" w:hAnsiTheme="minorEastAsia" w:eastAsiaTheme="minorEastAsia" w:cstheme="minorEastAsia"/>
          <w:bCs/>
          <w:snapToGrid/>
          <w:kern w:val="2"/>
          <w:sz w:val="21"/>
          <w:szCs w:val="21"/>
          <w:lang w:val="en-US" w:eastAsia="zh-CN"/>
        </w:rPr>
        <w:t>中国国情</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C.</w:t>
      </w:r>
      <w:r>
        <w:rPr>
          <w:rFonts w:hint="eastAsia" w:asciiTheme="minorEastAsia" w:hAnsiTheme="minorEastAsia" w:eastAsiaTheme="minorEastAsia" w:cstheme="minorEastAsia"/>
          <w:bCs/>
          <w:snapToGrid/>
          <w:kern w:val="2"/>
          <w:sz w:val="21"/>
          <w:szCs w:val="21"/>
          <w:lang w:val="en-US" w:eastAsia="zh-CN"/>
        </w:rPr>
        <w:t>社会主义核心价值观</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D.</w:t>
      </w:r>
      <w:r>
        <w:rPr>
          <w:rFonts w:hint="eastAsia" w:asciiTheme="minorEastAsia" w:hAnsiTheme="minorEastAsia" w:eastAsiaTheme="minorEastAsia" w:cstheme="minorEastAsia"/>
          <w:bCs/>
          <w:snapToGrid/>
          <w:kern w:val="2"/>
          <w:sz w:val="21"/>
          <w:szCs w:val="21"/>
          <w:lang w:val="en-US" w:eastAsia="zh-CN"/>
        </w:rPr>
        <w:t>人民意志</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373.“五位一体”总体布局是指经济建设、政治建设、(     )、社会建设、生态文明建设。</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A.</w:t>
      </w:r>
      <w:r>
        <w:rPr>
          <w:rFonts w:hint="eastAsia" w:asciiTheme="minorEastAsia" w:hAnsiTheme="minorEastAsia" w:eastAsiaTheme="minorEastAsia" w:cstheme="minorEastAsia"/>
          <w:bCs/>
          <w:snapToGrid/>
          <w:kern w:val="2"/>
          <w:sz w:val="21"/>
          <w:szCs w:val="21"/>
          <w:lang w:val="en-US" w:eastAsia="zh-CN"/>
        </w:rPr>
        <w:t>文化建设</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B.</w:t>
      </w:r>
      <w:r>
        <w:rPr>
          <w:rFonts w:hint="eastAsia" w:asciiTheme="minorEastAsia" w:hAnsiTheme="minorEastAsia" w:eastAsiaTheme="minorEastAsia" w:cstheme="minorEastAsia"/>
          <w:bCs/>
          <w:snapToGrid/>
          <w:kern w:val="2"/>
          <w:sz w:val="21"/>
          <w:szCs w:val="21"/>
          <w:lang w:val="en-US" w:eastAsia="zh-CN"/>
        </w:rPr>
        <w:t>思想建设</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C.</w:t>
      </w:r>
      <w:r>
        <w:rPr>
          <w:rFonts w:hint="eastAsia" w:asciiTheme="minorEastAsia" w:hAnsiTheme="minorEastAsia" w:eastAsiaTheme="minorEastAsia" w:cstheme="minorEastAsia"/>
          <w:bCs/>
          <w:snapToGrid/>
          <w:kern w:val="2"/>
          <w:sz w:val="21"/>
          <w:szCs w:val="21"/>
          <w:lang w:val="en-US" w:eastAsia="zh-CN"/>
        </w:rPr>
        <w:t>制度建设</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374.港口是(     )、枢纽性设施，是经济发展的重要支撑。</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A.</w:t>
      </w:r>
      <w:r>
        <w:rPr>
          <w:rFonts w:hint="eastAsia" w:asciiTheme="minorEastAsia" w:hAnsiTheme="minorEastAsia" w:eastAsiaTheme="minorEastAsia" w:cstheme="minorEastAsia"/>
          <w:bCs/>
          <w:snapToGrid/>
          <w:kern w:val="2"/>
          <w:sz w:val="21"/>
          <w:szCs w:val="21"/>
          <w:lang w:val="en-US" w:eastAsia="zh-CN"/>
        </w:rPr>
        <w:t>关键性</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B.</w:t>
      </w:r>
      <w:r>
        <w:rPr>
          <w:rFonts w:hint="eastAsia" w:asciiTheme="minorEastAsia" w:hAnsiTheme="minorEastAsia" w:eastAsiaTheme="minorEastAsia" w:cstheme="minorEastAsia"/>
          <w:bCs/>
          <w:snapToGrid/>
          <w:kern w:val="2"/>
          <w:sz w:val="21"/>
          <w:szCs w:val="21"/>
          <w:lang w:val="en-US" w:eastAsia="zh-CN"/>
        </w:rPr>
        <w:t>重点性</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C.</w:t>
      </w:r>
      <w:r>
        <w:rPr>
          <w:rFonts w:hint="eastAsia" w:asciiTheme="minorEastAsia" w:hAnsiTheme="minorEastAsia" w:eastAsiaTheme="minorEastAsia" w:cstheme="minorEastAsia"/>
          <w:bCs/>
          <w:snapToGrid/>
          <w:kern w:val="2"/>
          <w:sz w:val="21"/>
          <w:szCs w:val="21"/>
          <w:lang w:val="en-US" w:eastAsia="zh-CN"/>
        </w:rPr>
        <w:t>基础性</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D.</w:t>
      </w:r>
      <w:r>
        <w:rPr>
          <w:rFonts w:hint="eastAsia" w:asciiTheme="minorEastAsia" w:hAnsiTheme="minorEastAsia" w:eastAsiaTheme="minorEastAsia" w:cstheme="minorEastAsia"/>
          <w:bCs/>
          <w:snapToGrid/>
          <w:kern w:val="2"/>
          <w:sz w:val="21"/>
          <w:szCs w:val="21"/>
          <w:lang w:val="en-US" w:eastAsia="zh-CN"/>
        </w:rPr>
        <w:t>保障性</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375.山东港口核心价值观是同心同德、忠诚奉献、(     )、追求卓越。</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A.</w:t>
      </w:r>
      <w:r>
        <w:rPr>
          <w:rFonts w:hint="eastAsia" w:asciiTheme="minorEastAsia" w:hAnsiTheme="minorEastAsia" w:eastAsiaTheme="minorEastAsia" w:cstheme="minorEastAsia"/>
          <w:bCs/>
          <w:snapToGrid/>
          <w:kern w:val="2"/>
          <w:sz w:val="21"/>
          <w:szCs w:val="21"/>
          <w:lang w:val="en-US" w:eastAsia="zh-CN"/>
        </w:rPr>
        <w:t>敢闯敢拼</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B.</w:t>
      </w:r>
      <w:r>
        <w:rPr>
          <w:rFonts w:hint="eastAsia" w:asciiTheme="minorEastAsia" w:hAnsiTheme="minorEastAsia" w:eastAsiaTheme="minorEastAsia" w:cstheme="minorEastAsia"/>
          <w:bCs/>
          <w:snapToGrid/>
          <w:kern w:val="2"/>
          <w:sz w:val="21"/>
          <w:szCs w:val="21"/>
          <w:lang w:val="en-US" w:eastAsia="zh-CN"/>
        </w:rPr>
        <w:t>创新开拓</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C.</w:t>
      </w:r>
      <w:r>
        <w:rPr>
          <w:rFonts w:hint="eastAsia" w:asciiTheme="minorEastAsia" w:hAnsiTheme="minorEastAsia" w:eastAsiaTheme="minorEastAsia" w:cstheme="minorEastAsia"/>
          <w:bCs/>
          <w:snapToGrid/>
          <w:kern w:val="2"/>
          <w:sz w:val="21"/>
          <w:szCs w:val="21"/>
          <w:lang w:val="en-US" w:eastAsia="zh-CN"/>
        </w:rPr>
        <w:t>团结奋斗</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D.</w:t>
      </w:r>
      <w:r>
        <w:rPr>
          <w:rFonts w:hint="eastAsia" w:asciiTheme="minorEastAsia" w:hAnsiTheme="minorEastAsia" w:eastAsiaTheme="minorEastAsia" w:cstheme="minorEastAsia"/>
          <w:bCs/>
          <w:snapToGrid/>
          <w:kern w:val="2"/>
          <w:sz w:val="21"/>
          <w:szCs w:val="21"/>
          <w:lang w:val="en-US" w:eastAsia="zh-CN"/>
        </w:rPr>
        <w:t>改革创新</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答案：</w:t>
      </w:r>
      <w:r>
        <w:rPr>
          <w:rFonts w:hint="eastAsia" w:asciiTheme="minorEastAsia" w:hAnsiTheme="minorEastAsia" w:eastAsiaTheme="minorEastAsia" w:cstheme="minorEastAsia"/>
          <w:bCs/>
          <w:snapToGrid/>
          <w:kern w:val="2"/>
          <w:sz w:val="21"/>
          <w:szCs w:val="21"/>
          <w:lang w:val="en-US" w:eastAsia="zh-CN"/>
        </w:rPr>
        <w:t>B</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376.山东港口(     )是港通四海、陆联八方、口碑天下、辉映全球的世界一流的海洋港口。</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A.</w:t>
      </w:r>
      <w:r>
        <w:rPr>
          <w:rFonts w:hint="eastAsia" w:asciiTheme="minorEastAsia" w:hAnsiTheme="minorEastAsia" w:eastAsiaTheme="minorEastAsia" w:cstheme="minorEastAsia"/>
          <w:bCs/>
          <w:snapToGrid/>
          <w:kern w:val="2"/>
          <w:sz w:val="21"/>
          <w:szCs w:val="21"/>
          <w:lang w:val="en-US" w:eastAsia="zh-CN"/>
        </w:rPr>
        <w:t>发展定位</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B.</w:t>
      </w:r>
      <w:r>
        <w:rPr>
          <w:rFonts w:hint="eastAsia" w:asciiTheme="minorEastAsia" w:hAnsiTheme="minorEastAsia" w:eastAsiaTheme="minorEastAsia" w:cstheme="minorEastAsia"/>
          <w:bCs/>
          <w:snapToGrid/>
          <w:kern w:val="2"/>
          <w:sz w:val="21"/>
          <w:szCs w:val="21"/>
          <w:lang w:val="en-US" w:eastAsia="zh-CN"/>
        </w:rPr>
        <w:t>企业理念</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C.</w:t>
      </w:r>
      <w:r>
        <w:rPr>
          <w:rFonts w:hint="eastAsia" w:asciiTheme="minorEastAsia" w:hAnsiTheme="minorEastAsia" w:eastAsiaTheme="minorEastAsia" w:cstheme="minorEastAsia"/>
          <w:bCs/>
          <w:snapToGrid/>
          <w:kern w:val="2"/>
          <w:sz w:val="21"/>
          <w:szCs w:val="21"/>
          <w:lang w:val="en-US" w:eastAsia="zh-CN"/>
        </w:rPr>
        <w:t>发展路径</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D.</w:t>
      </w:r>
      <w:r>
        <w:rPr>
          <w:rFonts w:hint="eastAsia" w:asciiTheme="minorEastAsia" w:hAnsiTheme="minorEastAsia" w:eastAsiaTheme="minorEastAsia" w:cstheme="minorEastAsia"/>
          <w:bCs/>
          <w:snapToGrid/>
          <w:kern w:val="2"/>
          <w:sz w:val="21"/>
          <w:szCs w:val="21"/>
          <w:lang w:val="en-US" w:eastAsia="zh-CN"/>
        </w:rPr>
        <w:t>企业愿景</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答案：</w:t>
      </w:r>
      <w:r>
        <w:rPr>
          <w:rFonts w:hint="eastAsia" w:asciiTheme="minorEastAsia" w:hAnsiTheme="minorEastAsia" w:eastAsiaTheme="minorEastAsia" w:cstheme="minorEastAsia"/>
          <w:bCs/>
          <w:snapToGrid/>
          <w:kern w:val="2"/>
          <w:sz w:val="21"/>
          <w:szCs w:val="21"/>
          <w:lang w:val="en-US" w:eastAsia="zh-CN"/>
        </w:rPr>
        <w:t>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377.东北亚国际航运枢纽中心突出山东港口的国际航运中心功能、(     )和东北亚区域定位。</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A.</w:t>
      </w:r>
      <w:r>
        <w:rPr>
          <w:rFonts w:hint="eastAsia" w:asciiTheme="minorEastAsia" w:hAnsiTheme="minorEastAsia" w:eastAsiaTheme="minorEastAsia" w:cstheme="minorEastAsia"/>
          <w:bCs/>
          <w:snapToGrid/>
          <w:kern w:val="2"/>
          <w:sz w:val="21"/>
          <w:szCs w:val="21"/>
          <w:lang w:val="en-US" w:eastAsia="zh-CN"/>
        </w:rPr>
        <w:t>航运桥梁</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B.</w:t>
      </w:r>
      <w:r>
        <w:rPr>
          <w:rFonts w:hint="eastAsia" w:asciiTheme="minorEastAsia" w:hAnsiTheme="minorEastAsia" w:eastAsiaTheme="minorEastAsia" w:cstheme="minorEastAsia"/>
          <w:bCs/>
          <w:snapToGrid/>
          <w:kern w:val="2"/>
          <w:sz w:val="21"/>
          <w:szCs w:val="21"/>
          <w:lang w:val="en-US" w:eastAsia="zh-CN"/>
        </w:rPr>
        <w:t>运输中枢地位</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C.</w:t>
      </w:r>
      <w:r>
        <w:rPr>
          <w:rFonts w:hint="eastAsia" w:asciiTheme="minorEastAsia" w:hAnsiTheme="minorEastAsia" w:eastAsiaTheme="minorEastAsia" w:cstheme="minorEastAsia"/>
          <w:bCs/>
          <w:snapToGrid/>
          <w:kern w:val="2"/>
          <w:sz w:val="21"/>
          <w:szCs w:val="21"/>
          <w:lang w:val="en-US" w:eastAsia="zh-CN"/>
        </w:rPr>
        <w:t>水路转运桥头堡</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rPr>
        <w:t>D.</w:t>
      </w:r>
      <w:r>
        <w:rPr>
          <w:rFonts w:hint="eastAsia" w:asciiTheme="minorEastAsia" w:hAnsiTheme="minorEastAsia" w:eastAsiaTheme="minorEastAsia" w:cstheme="minorEastAsia"/>
          <w:bCs/>
          <w:snapToGrid/>
          <w:kern w:val="2"/>
          <w:sz w:val="21"/>
          <w:szCs w:val="21"/>
          <w:lang w:val="en-US" w:eastAsia="zh-CN"/>
        </w:rPr>
        <w:t>综合枢纽地位</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378.山东港口发展理念是创新、协调、(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A.绿色、融合、共享</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B.绿色、开放、共享</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C.开放、绿色、共享</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D.绿色、开放、融合</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答案：B</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379.2022年，青岛港集装箱量跃居世界第(     )，日照港、烟台港吞吐量分别突破(     )亿吨、4亿吨，渤海湾港吞吐量增长迅速。</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A.六、6</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B.五、6</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C.六、5</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D.五、5</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380.TEU以(     )为标准定义的，是指标准集装箱。</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A.20英尺集装箱</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B.40英尺集装箱</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C.20吨集装箱</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D.45英尺集装箱</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381.全球港口货物吞吐量最大的港口是(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A.上海港</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B.宁波舟山港</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C.新加坡港</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D.洛杉矶港</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答案：B</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382.山东港口2022年货物吞吐量突破(     )亿吨。</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A.14</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B.15</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C.16</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D.17</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383.2022年，全国港口货物吞吐量达(     )亿吨。</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A.157.1</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B.153.8</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C.156.8</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D.155.3</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384.党的二十大报告生态环境保护有关内容提出深入推进环境污染防治，打好污染防治攻坚战，不包括(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A.蓝天</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B.碧水</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C.噪音</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D.净土</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385.下列气体中不属于温室气体的是(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A.二氧化碳</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B.臭氧</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C.甲烷</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D.二氧化硫</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386.到2030年，中国非化石能源占一次能源消费比重将达到(     )%左右。</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A.10</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B.15</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C.20</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D.25</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387.绿色港口等级用来表征港口、码头绿色发展水平差异的级别，由低到高分为(     )级。</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A.3</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B.4</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C.5</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D.6</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388.环境空气质量功能区分为(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A.二类</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B.三类</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C.四级</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D.五级</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389.《中华人民共和国环境影响评价法》在环境保护法律体系中属于(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A.环境保护基本法</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B.环境保护单行法</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C.环境保护行政法规</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D.环境保护部门规章</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答案：B</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390.《安全生产法》的立法目的，不包括(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A.为了加强安全生产监督管理</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B.防止和减少生产安全事故</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C.提高产品的产量水平</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D.保障人民群众生命和财产安全</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391.《中华人民共和国港口法》规定，港口建设应当符合(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A.港口规划</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B.港口章程</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C.城市规划</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D.防洪规划</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392.截至2022年底，山东港口拥有(     )个主要港区。</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A.17</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B.19</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C.21</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D.23</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393.国家鼓励科学技术研究开发机构、高等学校、企业等发挥自身优势，加强基础研究，推动(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A.原始创新</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B.集成创新</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C.引进消化吸收再创新</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394.山东港口智慧绿色港顶层设计明确构建“智慧大脑、智慧服务、(     )、智慧生产、智慧装备、智慧基础”六大要素体系。</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A.智慧管控</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B.智慧管理</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C.智慧管理</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395.实践告诉我们，中国共产党为什么能，中国特色社会主义为什么好，归根到底是马克思主义行，是(     )的马克思主义行。</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A.中国化现代化</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B.中国化时代化</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C.中国化科学化</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D.中国化民主化</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答案：B</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396.从现在起，中国共产党的(     )就是团结带领全国各族人民全面建成社会主义现代化强国、实现第二个百年奋斗目标。</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A.重要任务</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B.核心任务</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C.第一任务</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D.中心任务</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397.(     )，是中国共产党领导的社会主义现代化，既有各国现代化的共同特征，更有基于自己国情的中国特色。</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A.中国式发展化</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B.中国式现代化</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C.中国式科学化</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D.中国式创造化</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答案：B</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398.我们全面加强党的领导，确保党中央权威和集中统一领导，确保党发挥(     )的领导核心作用。</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A.统领全局、引导各方</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B.总领全局、协调各方</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C.总揽全局、协调各方</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D.统揽全局、领导各方</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399.必须完整、准确、全面贯彻新发展理念，坚持社会主义市场经济改革方向，坚持高水平对外开放，加快构建以国内大循环为(     )、国内国际双循环相互促进的新发展格局。</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A.载体</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B.主体</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C.基础</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D.首要</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答案：B</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400.(     )是社会主义的生命，是全面建设社会主义现代化国家的应有之义。</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A.人民民主</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B.依法治国</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C.党的领导</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D.从严治党</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二、多项选择题（专业题80题，公共基础题20，共计100题）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1.机油质量好坏主要看以下指标（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A.粘度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B.水分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C.杂质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D.闪点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2.吊点位置的选择必须遵循的原则有：（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A.采用原设计吊耳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B.吊点与中心在同一铅垂线上</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C.重心在两吊点之间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D.吊点在重心的下方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3.如果机油压力过低，可能原因是（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A.机油泵出现故障</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B.调压阀调压不当</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C.主轴瓦间隙过大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4.发动机高温的原因可能有（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A.水箱脏污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B.节温器损坏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C.风扇带太松</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D.油门过高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5.影响安全行车的几种思想是（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A.无所谓思想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B.麻木思想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C.侥幸思想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6.影响安全行车的情绪是（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A.急燥情绪</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B.烦燥情绪</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C.心喜若狂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.B.C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7.电气设备发生火灾时（     ）灭火。</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A.应立即切断电源</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B.用1211灭火器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C.泡沫灭火器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D.用二氧化碳灭火器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BD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8.圆锥式破碎器的特点（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A.破碎比大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B.生产率高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C.工号消耗低</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D.随时产品粒度均匀</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BCD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9.单斗挖掘机按工作装置的操作式分（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A.悬挂式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B.复合驱动式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C.机械式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D.液压式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答案：C</w:t>
      </w:r>
      <w:r>
        <w:rPr>
          <w:rFonts w:hint="default" w:asciiTheme="minorEastAsia" w:hAnsiTheme="minorEastAsia" w:eastAsiaTheme="minorEastAsia" w:cstheme="minorEastAsia"/>
          <w:bCs/>
          <w:snapToGrid/>
          <w:kern w:val="2"/>
          <w:sz w:val="21"/>
          <w:szCs w:val="21"/>
        </w:rPr>
        <w:t>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10.流体连续性方程式（     ）在流体力学中的表达形式，而伯努利方程是（</w:t>
      </w:r>
      <w:r>
        <w:rPr>
          <w:rFonts w:hint="default" w:asciiTheme="minorEastAsia" w:hAnsiTheme="minorEastAsia" w:eastAsiaTheme="minorEastAsia" w:cstheme="minorEastAsia"/>
          <w:bCs/>
          <w:snapToGrid/>
          <w:kern w:val="2"/>
          <w:sz w:val="21"/>
          <w:szCs w:val="21"/>
        </w:rPr>
        <w:t xml:space="preserve">     </w:t>
      </w:r>
      <w:r>
        <w:rPr>
          <w:rFonts w:hint="eastAsia" w:asciiTheme="minorEastAsia" w:hAnsiTheme="minorEastAsia" w:eastAsiaTheme="minorEastAsia" w:cstheme="minorEastAsia"/>
          <w:bCs/>
          <w:snapToGrid/>
          <w:kern w:val="2"/>
          <w:sz w:val="21"/>
          <w:szCs w:val="21"/>
        </w:rPr>
        <w:t>）在流体力学中的表达形式。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A.质量守恒定律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B.动量定理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C.能量守恒定律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D.其他</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11.驱动桥的装配与调整内容有(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A.主减速器的装配与调整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B.差速器装配与调整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C.半轴的装配与调整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D.二级减速圆柱齿轮装配位置的调整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E.万向节的装配与调整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12.受损伤的机械零件的修复方法有(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A.焊补法</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B.镶套修补法</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C.涂漆法</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D.刮研法</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E.胶粘法</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13.操纵手柄一般用右手操纵（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A.起升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B.回转</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C.挖掘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D.变幅</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14.司机进行维护保养时，应切断主电源并（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A.报告领导</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B.挂上标志牌</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C.加锁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D.告诉接班司机</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r>
        <w:rPr>
          <w:rFonts w:hint="default" w:asciiTheme="minorEastAsia" w:hAnsiTheme="minorEastAsia" w:eastAsiaTheme="minorEastAsia" w:cstheme="minorEastAsia"/>
          <w:bCs/>
          <w:snapToGrid/>
          <w:kern w:val="2"/>
          <w:sz w:val="21"/>
          <w:szCs w:val="21"/>
        </w:rPr>
        <w:t>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15.挖掘机进入带电区域内作业前，应对（     ）等部位采取绝缘措施，操作中应指派专人监察现场安全。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A.整个车身</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B.工作臂</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C.操作机构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D.驾驶室</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r>
        <w:rPr>
          <w:rFonts w:hint="default" w:asciiTheme="minorEastAsia" w:hAnsiTheme="minorEastAsia" w:eastAsiaTheme="minorEastAsia" w:cstheme="minorEastAsia"/>
          <w:bCs/>
          <w:snapToGrid/>
          <w:kern w:val="2"/>
          <w:sz w:val="21"/>
          <w:szCs w:val="21"/>
        </w:rPr>
        <w:t>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16.从业人员在岗前进行安全生产教育和培训后，应确保具备哪些知识技能（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A.必要的安全生产知识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B.熟悉有关的安全生产规章制度和安全操作规程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C.掌握本岗位的安全操作技能</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D.了解事故应急处理措施</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E.知悉自身在安全生产方面的权利和义务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w:t>
      </w:r>
      <w:r>
        <w:rPr>
          <w:rFonts w:hint="default" w:asciiTheme="minorEastAsia" w:hAnsiTheme="minorEastAsia" w:eastAsiaTheme="minorEastAsia" w:cstheme="minorEastAsia"/>
          <w:bCs/>
          <w:snapToGrid/>
          <w:kern w:val="2"/>
          <w:sz w:val="21"/>
          <w:szCs w:val="21"/>
        </w:rPr>
        <w:t>ABCDE</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17.从业人员有权对本单位安全生产工作存在的问题提出（     ），有权拒绝（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A.批评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B.检举</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C.控告</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D.违章指挥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E.强令冒险作业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BCDE</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18.挖掘机动臂“无动作”现象，引起的可能原因有（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A.液压泵损坏或发生故障</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B.操纵系统发生故障</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C.安全锁故障</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D.蓄能器发生故障</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BCD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19.特种设备作业人员应当遵守的规定有（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A.积极参加设备安全教育和安全技术培训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B.证件由用人单位集中管理，作业时无需随身携带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C.严格执行设备操作规程和有关安全规章制度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D.拒绝违章指挥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20.事故调查应当按照（     ）的原则，及时、准确地查清事故原因，查明事故性质和责任，总结事故教训，提出整改措施，并对事故责任者提出处理意见。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A.客观公正</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B.科学严谨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C.依法依规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D.实事求是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E.注重实效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r>
        <w:rPr>
          <w:rFonts w:hint="default" w:asciiTheme="minorEastAsia" w:hAnsiTheme="minorEastAsia" w:eastAsiaTheme="minorEastAsia" w:cstheme="minorEastAsia"/>
          <w:bCs/>
          <w:snapToGrid/>
          <w:kern w:val="2"/>
          <w:sz w:val="21"/>
          <w:szCs w:val="21"/>
        </w:rPr>
        <w:t>CDE</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21.液压传动系统压力建立不起来的原因有(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A.缺液压油或液压油过稀</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B.油泵内泄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C.吸油路滤芯堵塞</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D.环境温度过高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E.溢流阀弹簧过硬</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22.对制动器的要求有（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A.安全、可靠、有足够的制动力矩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B.结构复杂，动作简单</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C.上闸平稳、松闸迅速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D.有足够的强度和刚度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23.喷油泵出油阀的作用是(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A.防止高压油管中的燃油回流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B.提高喷油压力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C.防止喷油器出现滴油现象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D.提高喷油雾化质量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E.增加喷油量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w:t>
      </w:r>
      <w:r>
        <w:rPr>
          <w:rFonts w:hint="default" w:asciiTheme="minorEastAsia" w:hAnsiTheme="minorEastAsia" w:eastAsiaTheme="minorEastAsia" w:cstheme="minorEastAsia"/>
          <w:bCs/>
          <w:snapToGrid/>
          <w:kern w:val="2"/>
          <w:sz w:val="21"/>
          <w:szCs w:val="21"/>
        </w:rPr>
        <w:t>4</w:t>
      </w:r>
      <w:r>
        <w:rPr>
          <w:rFonts w:hint="eastAsia" w:asciiTheme="minorEastAsia" w:hAnsiTheme="minorEastAsia" w:eastAsiaTheme="minorEastAsia" w:cstheme="minorEastAsia"/>
          <w:bCs/>
          <w:snapToGrid/>
          <w:kern w:val="2"/>
          <w:sz w:val="21"/>
          <w:szCs w:val="21"/>
        </w:rPr>
        <w:t>.在下面几种调速回路中，（     ）中的溢流阀是安全阀。</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A.定量泵和调速阀的进油节流调速回路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B.定量泵和旁通型调速阀的节流调速回路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C.定量泵和节流阀的旁通节流调速回路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D.定量泵和变量马达的闭式调速回路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r>
        <w:rPr>
          <w:rFonts w:hint="default" w:asciiTheme="minorEastAsia" w:hAnsiTheme="minorEastAsia" w:eastAsiaTheme="minorEastAsia" w:cstheme="minorEastAsia"/>
          <w:bCs/>
          <w:snapToGrid/>
          <w:kern w:val="2"/>
          <w:sz w:val="21"/>
          <w:szCs w:val="21"/>
        </w:rPr>
        <w:t>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w:t>
      </w:r>
      <w:r>
        <w:rPr>
          <w:rFonts w:hint="default" w:asciiTheme="minorEastAsia" w:hAnsiTheme="minorEastAsia" w:eastAsiaTheme="minorEastAsia" w:cstheme="minorEastAsia"/>
          <w:bCs/>
          <w:snapToGrid/>
          <w:kern w:val="2"/>
          <w:sz w:val="21"/>
          <w:szCs w:val="21"/>
        </w:rPr>
        <w:t>5</w:t>
      </w:r>
      <w:r>
        <w:rPr>
          <w:rFonts w:hint="eastAsia" w:asciiTheme="minorEastAsia" w:hAnsiTheme="minorEastAsia" w:eastAsiaTheme="minorEastAsia" w:cstheme="minorEastAsia"/>
          <w:bCs/>
          <w:snapToGrid/>
          <w:kern w:val="2"/>
          <w:sz w:val="21"/>
          <w:szCs w:val="21"/>
        </w:rPr>
        <w:t>.下列液压马达中，（     ）为高速马达。</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A.齿轮马达</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B.叶片马达</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C.轴向柱塞马达</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D.径向柱塞马达</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BC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w:t>
      </w:r>
      <w:r>
        <w:rPr>
          <w:rFonts w:hint="default" w:asciiTheme="minorEastAsia" w:hAnsiTheme="minorEastAsia" w:eastAsiaTheme="minorEastAsia" w:cstheme="minorEastAsia"/>
          <w:bCs/>
          <w:snapToGrid/>
          <w:kern w:val="2"/>
          <w:sz w:val="21"/>
          <w:szCs w:val="21"/>
        </w:rPr>
        <w:t>6</w:t>
      </w:r>
      <w:r>
        <w:rPr>
          <w:rFonts w:hint="eastAsia" w:asciiTheme="minorEastAsia" w:hAnsiTheme="minorEastAsia" w:eastAsiaTheme="minorEastAsia" w:cstheme="minorEastAsia"/>
          <w:bCs/>
          <w:snapToGrid/>
          <w:kern w:val="2"/>
          <w:sz w:val="21"/>
          <w:szCs w:val="21"/>
        </w:rPr>
        <w:t>.三位四通电液换向阀的液动滑阀为弹簧对中型，其先导电磁换向阀中位必须是（     ）机能。</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A.H型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B.M型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C.Y型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D.P型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27</w:t>
      </w:r>
      <w:r>
        <w:rPr>
          <w:rFonts w:hint="eastAsia" w:asciiTheme="minorEastAsia" w:hAnsiTheme="minorEastAsia" w:eastAsiaTheme="minorEastAsia" w:cstheme="minorEastAsia"/>
          <w:bCs/>
          <w:snapToGrid/>
          <w:kern w:val="2"/>
          <w:sz w:val="21"/>
          <w:szCs w:val="21"/>
        </w:rPr>
        <w:t>.《安全生产法》规定的从业人员的义务有:（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A.遵章守规，服从管理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B.觉加班加点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C.接受安全生产教育和培训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D.发现不安全因素及时报告</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28</w:t>
      </w:r>
      <w:r>
        <w:rPr>
          <w:rFonts w:hint="eastAsia" w:asciiTheme="minorEastAsia" w:hAnsiTheme="minorEastAsia" w:eastAsiaTheme="minorEastAsia" w:cstheme="minorEastAsia"/>
          <w:bCs/>
          <w:snapToGrid/>
          <w:kern w:val="2"/>
          <w:sz w:val="21"/>
          <w:szCs w:val="21"/>
        </w:rPr>
        <w:t>.在泵-油缸回油节流调速回路中，三位四通换向阀处于不同位置是可以是液压缸实现快进-工进-端点停留-快退的动作循环，在（     ）工况下，泵所需要的驱动功率最大。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A.快进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B.工进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C.端点停留</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D.快退</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r>
        <w:rPr>
          <w:rFonts w:hint="default" w:asciiTheme="minorEastAsia" w:hAnsiTheme="minorEastAsia" w:eastAsiaTheme="minorEastAsia" w:cstheme="minorEastAsia"/>
          <w:bCs/>
          <w:snapToGrid/>
          <w:kern w:val="2"/>
          <w:sz w:val="21"/>
          <w:szCs w:val="21"/>
        </w:rPr>
        <w:t>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29</w:t>
      </w:r>
      <w:r>
        <w:rPr>
          <w:rFonts w:hint="eastAsia" w:asciiTheme="minorEastAsia" w:hAnsiTheme="minorEastAsia" w:eastAsiaTheme="minorEastAsia" w:cstheme="minorEastAsia"/>
          <w:bCs/>
          <w:snapToGrid/>
          <w:kern w:val="2"/>
          <w:sz w:val="21"/>
          <w:szCs w:val="21"/>
        </w:rPr>
        <w:t>.凸轮机构是由（     ）三个基本构建组成。</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A.凸轮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C.从动件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D.机架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w:t>
      </w:r>
      <w:r>
        <w:rPr>
          <w:rFonts w:hint="default" w:asciiTheme="minorEastAsia" w:hAnsiTheme="minorEastAsia" w:eastAsiaTheme="minorEastAsia" w:cstheme="minorEastAsia"/>
          <w:bCs/>
          <w:snapToGrid/>
          <w:kern w:val="2"/>
          <w:sz w:val="21"/>
          <w:szCs w:val="21"/>
        </w:rPr>
        <w:t>0</w:t>
      </w:r>
      <w:r>
        <w:rPr>
          <w:rFonts w:hint="eastAsia" w:asciiTheme="minorEastAsia" w:hAnsiTheme="minorEastAsia" w:eastAsiaTheme="minorEastAsia" w:cstheme="minorEastAsia"/>
          <w:bCs/>
          <w:snapToGrid/>
          <w:kern w:val="2"/>
          <w:sz w:val="21"/>
          <w:szCs w:val="21"/>
        </w:rPr>
        <w:t>.下列各标记中，不是细牙普通螺纹标记的有（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A.M24-5H-20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B.M36×2-5g6g</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C.Tr40×7-7H</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D.Tr40×7-7e</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w:t>
      </w:r>
      <w:r>
        <w:rPr>
          <w:rFonts w:hint="default" w:asciiTheme="minorEastAsia" w:hAnsiTheme="minorEastAsia" w:eastAsiaTheme="minorEastAsia" w:cstheme="minorEastAsia"/>
          <w:bCs/>
          <w:snapToGrid/>
          <w:kern w:val="2"/>
          <w:sz w:val="21"/>
          <w:szCs w:val="21"/>
        </w:rPr>
        <w:t>1</w:t>
      </w:r>
      <w:r>
        <w:rPr>
          <w:rFonts w:hint="eastAsia" w:asciiTheme="minorEastAsia" w:hAnsiTheme="minorEastAsia" w:eastAsiaTheme="minorEastAsia" w:cstheme="minorEastAsia"/>
          <w:bCs/>
          <w:snapToGrid/>
          <w:kern w:val="2"/>
          <w:sz w:val="21"/>
          <w:szCs w:val="21"/>
        </w:rPr>
        <w:t>.制定《安全生产法》的目的:（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A.为了加强安全生产监督管理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B.防止和减少生产安全事故</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C.保障人民群众生命和财产安全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D.促进经济发展</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BCD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w:t>
      </w:r>
      <w:r>
        <w:rPr>
          <w:rFonts w:hint="default" w:asciiTheme="minorEastAsia" w:hAnsiTheme="minorEastAsia" w:eastAsiaTheme="minorEastAsia" w:cstheme="minorEastAsia"/>
          <w:bCs/>
          <w:snapToGrid/>
          <w:kern w:val="2"/>
          <w:sz w:val="21"/>
          <w:szCs w:val="21"/>
        </w:rPr>
        <w:t>2</w:t>
      </w:r>
      <w:r>
        <w:rPr>
          <w:rFonts w:hint="eastAsia" w:asciiTheme="minorEastAsia" w:hAnsiTheme="minorEastAsia" w:eastAsiaTheme="minorEastAsia" w:cstheme="minorEastAsia"/>
          <w:bCs/>
          <w:snapToGrid/>
          <w:kern w:val="2"/>
          <w:sz w:val="21"/>
          <w:szCs w:val="21"/>
        </w:rPr>
        <w:t>.链传动具有保证（     ）的特点。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A.瞬时传动比恒定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B.工作可靠性高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C.传递运动准确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D.静音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BC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w:t>
      </w:r>
      <w:r>
        <w:rPr>
          <w:rFonts w:hint="default" w:asciiTheme="minorEastAsia" w:hAnsiTheme="minorEastAsia" w:eastAsiaTheme="minorEastAsia" w:cstheme="minorEastAsia"/>
          <w:bCs/>
          <w:snapToGrid/>
          <w:kern w:val="2"/>
          <w:sz w:val="21"/>
          <w:szCs w:val="21"/>
        </w:rPr>
        <w:t>3</w:t>
      </w:r>
      <w:r>
        <w:rPr>
          <w:rFonts w:hint="eastAsia" w:asciiTheme="minorEastAsia" w:hAnsiTheme="minorEastAsia" w:eastAsiaTheme="minorEastAsia" w:cstheme="minorEastAsia"/>
          <w:bCs/>
          <w:snapToGrid/>
          <w:kern w:val="2"/>
          <w:sz w:val="21"/>
          <w:szCs w:val="21"/>
        </w:rPr>
        <w:t>.下列属于我国安全电压额定值的有:（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A.48V</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B.36V</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C.24V</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D.12V</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r>
        <w:rPr>
          <w:rFonts w:hint="default" w:asciiTheme="minorEastAsia" w:hAnsiTheme="minorEastAsia" w:eastAsiaTheme="minorEastAsia" w:cstheme="minorEastAsia"/>
          <w:bCs/>
          <w:snapToGrid/>
          <w:kern w:val="2"/>
          <w:sz w:val="21"/>
          <w:szCs w:val="21"/>
        </w:rPr>
        <w:t>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w:t>
      </w:r>
      <w:r>
        <w:rPr>
          <w:rFonts w:hint="default" w:asciiTheme="minorEastAsia" w:hAnsiTheme="minorEastAsia" w:eastAsiaTheme="minorEastAsia" w:cstheme="minorEastAsia"/>
          <w:bCs/>
          <w:snapToGrid/>
          <w:kern w:val="2"/>
          <w:sz w:val="21"/>
          <w:szCs w:val="21"/>
        </w:rPr>
        <w:t>4</w:t>
      </w:r>
      <w:r>
        <w:rPr>
          <w:rFonts w:hint="eastAsia" w:asciiTheme="minorEastAsia" w:hAnsiTheme="minorEastAsia" w:eastAsiaTheme="minorEastAsia" w:cstheme="minorEastAsia"/>
          <w:bCs/>
          <w:snapToGrid/>
          <w:kern w:val="2"/>
          <w:sz w:val="21"/>
          <w:szCs w:val="21"/>
        </w:rPr>
        <w:t>.下列机构中的运动副，不属于高副的是（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A.火车车轮与铁轨之间的运动副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B.螺旋千斤顶螺杆与螺母之间的摩擦副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C.车床床鞍与导轨之间的运动副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D.传动副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w:t>
      </w:r>
      <w:r>
        <w:rPr>
          <w:rFonts w:hint="default" w:asciiTheme="minorEastAsia" w:hAnsiTheme="minorEastAsia" w:eastAsiaTheme="minorEastAsia" w:cstheme="minorEastAsia"/>
          <w:bCs/>
          <w:snapToGrid/>
          <w:kern w:val="2"/>
          <w:sz w:val="21"/>
          <w:szCs w:val="21"/>
        </w:rPr>
        <w:t>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w:t>
      </w:r>
      <w:r>
        <w:rPr>
          <w:rFonts w:hint="default" w:asciiTheme="minorEastAsia" w:hAnsiTheme="minorEastAsia" w:eastAsiaTheme="minorEastAsia" w:cstheme="minorEastAsia"/>
          <w:bCs/>
          <w:snapToGrid/>
          <w:kern w:val="2"/>
          <w:sz w:val="21"/>
          <w:szCs w:val="21"/>
        </w:rPr>
        <w:t>5</w:t>
      </w:r>
      <w:r>
        <w:rPr>
          <w:rFonts w:hint="eastAsia" w:asciiTheme="minorEastAsia" w:hAnsiTheme="minorEastAsia" w:eastAsiaTheme="minorEastAsia" w:cstheme="minorEastAsia"/>
          <w:bCs/>
          <w:snapToGrid/>
          <w:kern w:val="2"/>
          <w:sz w:val="21"/>
          <w:szCs w:val="21"/>
        </w:rPr>
        <w:t>.齿轮传动的主要失效形式有（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A.轮齿折断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B.齿面点蚀</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C.齿轮异响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D.齿面胶合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BD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w:t>
      </w:r>
      <w:r>
        <w:rPr>
          <w:rFonts w:hint="default" w:asciiTheme="minorEastAsia" w:hAnsiTheme="minorEastAsia" w:eastAsiaTheme="minorEastAsia" w:cstheme="minorEastAsia"/>
          <w:bCs/>
          <w:snapToGrid/>
          <w:kern w:val="2"/>
          <w:sz w:val="21"/>
          <w:szCs w:val="21"/>
        </w:rPr>
        <w:t>6</w:t>
      </w:r>
      <w:r>
        <w:rPr>
          <w:rFonts w:hint="eastAsia" w:asciiTheme="minorEastAsia" w:hAnsiTheme="minorEastAsia" w:eastAsiaTheme="minorEastAsia" w:cstheme="minorEastAsia"/>
          <w:bCs/>
          <w:snapToGrid/>
          <w:kern w:val="2"/>
          <w:sz w:val="21"/>
          <w:szCs w:val="21"/>
        </w:rPr>
        <w:t>.带传动的主要失效形式有（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A.打滑</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B.划痕</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C.疲劳破坏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D.异响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37</w:t>
      </w:r>
      <w:r>
        <w:rPr>
          <w:rFonts w:hint="eastAsia" w:asciiTheme="minorEastAsia" w:hAnsiTheme="minorEastAsia" w:eastAsiaTheme="minorEastAsia" w:cstheme="minorEastAsia"/>
          <w:bCs/>
          <w:snapToGrid/>
          <w:kern w:val="2"/>
          <w:sz w:val="21"/>
          <w:szCs w:val="21"/>
        </w:rPr>
        <w:t>.液压系统中控制阀可分为哪（     ）三大类。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A.压力控制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B.流量控制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C.速度控制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D.溢流控制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BC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38</w:t>
      </w:r>
      <w:r>
        <w:rPr>
          <w:rFonts w:hint="eastAsia" w:asciiTheme="minorEastAsia" w:hAnsiTheme="minorEastAsia" w:eastAsiaTheme="minorEastAsia" w:cstheme="minorEastAsia"/>
          <w:bCs/>
          <w:snapToGrid/>
          <w:kern w:val="2"/>
          <w:sz w:val="21"/>
          <w:szCs w:val="21"/>
        </w:rPr>
        <w:t>.滚动轴承的主要失效形式为（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A.疲劳点蚀</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B.塑性变形</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C.工作噪音大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39</w:t>
      </w:r>
      <w:r>
        <w:rPr>
          <w:rFonts w:hint="eastAsia" w:asciiTheme="minorEastAsia" w:hAnsiTheme="minorEastAsia" w:eastAsiaTheme="minorEastAsia" w:cstheme="minorEastAsia"/>
          <w:bCs/>
          <w:snapToGrid/>
          <w:kern w:val="2"/>
          <w:sz w:val="21"/>
          <w:szCs w:val="21"/>
        </w:rPr>
        <w:t>.常用键有哪几种（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A.平键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B.半圆键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C.楔键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D.花键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BCD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w:t>
      </w:r>
      <w:r>
        <w:rPr>
          <w:rFonts w:hint="default" w:asciiTheme="minorEastAsia" w:hAnsiTheme="minorEastAsia" w:eastAsiaTheme="minorEastAsia" w:cstheme="minorEastAsia"/>
          <w:bCs/>
          <w:snapToGrid/>
          <w:kern w:val="2"/>
          <w:sz w:val="21"/>
          <w:szCs w:val="21"/>
        </w:rPr>
        <w:t>0</w:t>
      </w:r>
      <w:r>
        <w:rPr>
          <w:rFonts w:hint="eastAsia" w:asciiTheme="minorEastAsia" w:hAnsiTheme="minorEastAsia" w:eastAsiaTheme="minorEastAsia" w:cstheme="minorEastAsia"/>
          <w:bCs/>
          <w:snapToGrid/>
          <w:kern w:val="2"/>
          <w:sz w:val="21"/>
          <w:szCs w:val="21"/>
        </w:rPr>
        <w:t>.轴承润滑目的在于降低摩擦功损耗，减少磨损，还可以防止（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A.冷却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B.吸振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C.防锈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D.减少噪音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BCD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w:t>
      </w:r>
      <w:r>
        <w:rPr>
          <w:rFonts w:hint="default" w:asciiTheme="minorEastAsia" w:hAnsiTheme="minorEastAsia" w:eastAsiaTheme="minorEastAsia" w:cstheme="minorEastAsia"/>
          <w:bCs/>
          <w:snapToGrid/>
          <w:kern w:val="2"/>
          <w:sz w:val="21"/>
          <w:szCs w:val="21"/>
        </w:rPr>
        <w:t>1</w:t>
      </w:r>
      <w:r>
        <w:rPr>
          <w:rFonts w:hint="eastAsia" w:asciiTheme="minorEastAsia" w:hAnsiTheme="minorEastAsia" w:eastAsiaTheme="minorEastAsia" w:cstheme="minorEastAsia"/>
          <w:bCs/>
          <w:snapToGrid/>
          <w:kern w:val="2"/>
          <w:sz w:val="21"/>
          <w:szCs w:val="21"/>
        </w:rPr>
        <w:t>.形位公差表示符号有（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A.同轴度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B.制作误差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C.圆跳动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D.平面度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w:t>
      </w:r>
      <w:r>
        <w:rPr>
          <w:rFonts w:hint="default" w:asciiTheme="minorEastAsia" w:hAnsiTheme="minorEastAsia" w:eastAsiaTheme="minorEastAsia" w:cstheme="minorEastAsia"/>
          <w:bCs/>
          <w:snapToGrid/>
          <w:kern w:val="2"/>
          <w:sz w:val="21"/>
          <w:szCs w:val="21"/>
        </w:rPr>
        <w:t>2</w:t>
      </w:r>
      <w:r>
        <w:rPr>
          <w:rFonts w:hint="eastAsia" w:asciiTheme="minorEastAsia" w:hAnsiTheme="minorEastAsia" w:eastAsiaTheme="minorEastAsia" w:cstheme="minorEastAsia"/>
          <w:bCs/>
          <w:snapToGrid/>
          <w:kern w:val="2"/>
          <w:sz w:val="21"/>
          <w:szCs w:val="21"/>
        </w:rPr>
        <w:t>.机械联轴器分为（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A.刚性联轴器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B.挠性联轴器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C.液压联轴器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D.安全联轴器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BD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w:t>
      </w:r>
      <w:r>
        <w:rPr>
          <w:rFonts w:hint="default" w:asciiTheme="minorEastAsia" w:hAnsiTheme="minorEastAsia" w:eastAsiaTheme="minorEastAsia" w:cstheme="minorEastAsia"/>
          <w:bCs/>
          <w:snapToGrid/>
          <w:kern w:val="2"/>
          <w:sz w:val="21"/>
          <w:szCs w:val="21"/>
        </w:rPr>
        <w:t>3</w:t>
      </w:r>
      <w:r>
        <w:rPr>
          <w:rFonts w:hint="eastAsia" w:asciiTheme="minorEastAsia" w:hAnsiTheme="minorEastAsia" w:eastAsiaTheme="minorEastAsia" w:cstheme="minorEastAsia"/>
          <w:bCs/>
          <w:snapToGrid/>
          <w:kern w:val="2"/>
          <w:sz w:val="21"/>
          <w:szCs w:val="21"/>
        </w:rPr>
        <w:t>.游标卡尺主要组成部分（     ）和辅助游标。</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A.主尺</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B.副尺</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C.卡脚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D.标线</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BC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w:t>
      </w:r>
      <w:r>
        <w:rPr>
          <w:rFonts w:hint="default" w:asciiTheme="minorEastAsia" w:hAnsiTheme="minorEastAsia" w:eastAsiaTheme="minorEastAsia" w:cstheme="minorEastAsia"/>
          <w:bCs/>
          <w:snapToGrid/>
          <w:kern w:val="2"/>
          <w:sz w:val="21"/>
          <w:szCs w:val="21"/>
        </w:rPr>
        <w:t>4</w:t>
      </w:r>
      <w:r>
        <w:rPr>
          <w:rFonts w:hint="eastAsia" w:asciiTheme="minorEastAsia" w:hAnsiTheme="minorEastAsia" w:eastAsiaTheme="minorEastAsia" w:cstheme="minorEastAsia"/>
          <w:bCs/>
          <w:snapToGrid/>
          <w:kern w:val="2"/>
          <w:sz w:val="21"/>
          <w:szCs w:val="21"/>
        </w:rPr>
        <w:t>.剖视图可以分为（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A.全剖</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B.半剖</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C.局部剖</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D.侧剖</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BC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w:t>
      </w:r>
      <w:r>
        <w:rPr>
          <w:rFonts w:hint="default" w:asciiTheme="minorEastAsia" w:hAnsiTheme="minorEastAsia" w:eastAsiaTheme="minorEastAsia" w:cstheme="minorEastAsia"/>
          <w:bCs/>
          <w:snapToGrid/>
          <w:kern w:val="2"/>
          <w:sz w:val="21"/>
          <w:szCs w:val="21"/>
        </w:rPr>
        <w:t>5</w:t>
      </w:r>
      <w:r>
        <w:rPr>
          <w:rFonts w:hint="eastAsia" w:asciiTheme="minorEastAsia" w:hAnsiTheme="minorEastAsia" w:eastAsiaTheme="minorEastAsia" w:cstheme="minorEastAsia"/>
          <w:bCs/>
          <w:snapToGrid/>
          <w:kern w:val="2"/>
          <w:sz w:val="21"/>
          <w:szCs w:val="21"/>
        </w:rPr>
        <w:t>.回转制动器打不开的原因是:（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A.回转马达损坏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B.电磁线圈烧坏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C.齿轮卡住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D.油液使用不当</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BCD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46</w:t>
      </w:r>
      <w:r>
        <w:rPr>
          <w:rFonts w:hint="eastAsia" w:asciiTheme="minorEastAsia" w:hAnsiTheme="minorEastAsia" w:eastAsiaTheme="minorEastAsia" w:cstheme="minorEastAsia"/>
          <w:bCs/>
          <w:snapToGrid/>
          <w:kern w:val="2"/>
          <w:sz w:val="21"/>
          <w:szCs w:val="21"/>
        </w:rPr>
        <w:t>.带传动中，以带的形状分类有V型、（     ）几种形式。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A.平带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B.多楔带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C.圆带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D.活络带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w:t>
      </w:r>
      <w:r>
        <w:rPr>
          <w:rFonts w:hint="default" w:asciiTheme="minorEastAsia" w:hAnsiTheme="minorEastAsia" w:eastAsiaTheme="minorEastAsia" w:cstheme="minorEastAsia"/>
          <w:bCs/>
          <w:snapToGrid/>
          <w:kern w:val="2"/>
          <w:sz w:val="21"/>
          <w:szCs w:val="21"/>
        </w:rPr>
        <w:t>BCD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47</w:t>
      </w:r>
      <w:r>
        <w:rPr>
          <w:rFonts w:hint="eastAsia" w:asciiTheme="minorEastAsia" w:hAnsiTheme="minorEastAsia" w:eastAsiaTheme="minorEastAsia" w:cstheme="minorEastAsia"/>
          <w:bCs/>
          <w:snapToGrid/>
          <w:kern w:val="2"/>
          <w:sz w:val="21"/>
          <w:szCs w:val="21"/>
        </w:rPr>
        <w:t>.厂内事故一般涉及到（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A.人</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B.天气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C.车辆</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D.道路环境</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48</w:t>
      </w:r>
      <w:r>
        <w:rPr>
          <w:rFonts w:hint="eastAsia" w:asciiTheme="minorEastAsia" w:hAnsiTheme="minorEastAsia" w:eastAsiaTheme="minorEastAsia" w:cstheme="minorEastAsia"/>
          <w:bCs/>
          <w:snapToGrid/>
          <w:kern w:val="2"/>
          <w:sz w:val="21"/>
          <w:szCs w:val="21"/>
        </w:rPr>
        <w:t>.车辆装载的物品应严禁“四不超”（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A.超长、超宽</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B.超速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C.超高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D.超载</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E.超座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49</w:t>
      </w:r>
      <w:r>
        <w:rPr>
          <w:rFonts w:hint="eastAsia" w:asciiTheme="minorEastAsia" w:hAnsiTheme="minorEastAsia" w:eastAsiaTheme="minorEastAsia" w:cstheme="minorEastAsia"/>
          <w:bCs/>
          <w:snapToGrid/>
          <w:kern w:val="2"/>
          <w:sz w:val="21"/>
          <w:szCs w:val="21"/>
        </w:rPr>
        <w:t>.什么样的车辆技术状况对安全行车影响最大（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A.转向系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B.车轮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C.灯光和喇叭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D.制动系</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50</w:t>
      </w:r>
      <w:r>
        <w:rPr>
          <w:rFonts w:hint="eastAsia" w:asciiTheme="minorEastAsia" w:hAnsiTheme="minorEastAsia" w:eastAsiaTheme="minorEastAsia" w:cstheme="minorEastAsia"/>
          <w:bCs/>
          <w:snapToGrid/>
          <w:kern w:val="2"/>
          <w:sz w:val="21"/>
          <w:szCs w:val="21"/>
        </w:rPr>
        <w:t>.柴油发动机不能启动的原因（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A.启动转速低</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B.油路不正常</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C.压缩压力不够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D.水温太低</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w:t>
      </w:r>
      <w:r>
        <w:rPr>
          <w:rFonts w:hint="default" w:asciiTheme="minorEastAsia" w:hAnsiTheme="minorEastAsia" w:eastAsiaTheme="minorEastAsia" w:cstheme="minorEastAsia"/>
          <w:bCs/>
          <w:snapToGrid/>
          <w:kern w:val="2"/>
          <w:sz w:val="21"/>
          <w:szCs w:val="21"/>
        </w:rPr>
        <w:t>1</w:t>
      </w:r>
      <w:r>
        <w:rPr>
          <w:rFonts w:hint="eastAsia" w:asciiTheme="minorEastAsia" w:hAnsiTheme="minorEastAsia" w:eastAsiaTheme="minorEastAsia" w:cstheme="minorEastAsia"/>
          <w:bCs/>
          <w:snapToGrid/>
          <w:kern w:val="2"/>
          <w:sz w:val="21"/>
          <w:szCs w:val="21"/>
        </w:rPr>
        <w:t>.离合器打滑的原因（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A.离合器片被油污染</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B.离合器踏板自由行程消失</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C.离合器片平面未全部结合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D.发动机急加速转速太高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52</w:t>
      </w:r>
      <w:r>
        <w:rPr>
          <w:rFonts w:hint="eastAsia" w:asciiTheme="minorEastAsia" w:hAnsiTheme="minorEastAsia" w:eastAsiaTheme="minorEastAsia" w:cstheme="minorEastAsia"/>
          <w:bCs/>
          <w:snapToGrid/>
          <w:kern w:val="2"/>
          <w:sz w:val="21"/>
          <w:szCs w:val="21"/>
        </w:rPr>
        <w:t>.变速杆挂不上或自动脱档的原因是（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A.离合器分离不清</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B.发动机转速太高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C.拨叉严重磨损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D.路面复杂没有减速慢行</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w:t>
      </w:r>
      <w:r>
        <w:rPr>
          <w:rFonts w:hint="default" w:asciiTheme="minorEastAsia" w:hAnsiTheme="minorEastAsia" w:eastAsiaTheme="minorEastAsia" w:cstheme="minorEastAsia"/>
          <w:bCs/>
          <w:snapToGrid/>
          <w:kern w:val="2"/>
          <w:sz w:val="21"/>
          <w:szCs w:val="21"/>
        </w:rPr>
        <w:t>3</w:t>
      </w:r>
      <w:r>
        <w:rPr>
          <w:rFonts w:hint="eastAsia" w:asciiTheme="minorEastAsia" w:hAnsiTheme="minorEastAsia" w:eastAsiaTheme="minorEastAsia" w:cstheme="minorEastAsia"/>
          <w:bCs/>
          <w:snapToGrid/>
          <w:kern w:val="2"/>
          <w:sz w:val="21"/>
          <w:szCs w:val="21"/>
        </w:rPr>
        <w:t>.变速箱有杂音的原因是（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A.缺少齿轮油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B.拨叉轴和孔磨损松动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C.轴承磨损严重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D.齿轮齿形磨损变形</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w:t>
      </w:r>
      <w:r>
        <w:rPr>
          <w:rFonts w:hint="default" w:asciiTheme="minorEastAsia" w:hAnsiTheme="minorEastAsia" w:eastAsiaTheme="minorEastAsia" w:cstheme="minorEastAsia"/>
          <w:bCs/>
          <w:snapToGrid/>
          <w:kern w:val="2"/>
          <w:sz w:val="21"/>
          <w:szCs w:val="21"/>
        </w:rPr>
        <w:t>4</w:t>
      </w:r>
      <w:r>
        <w:rPr>
          <w:rFonts w:hint="eastAsia" w:asciiTheme="minorEastAsia" w:hAnsiTheme="minorEastAsia" w:eastAsiaTheme="minorEastAsia" w:cstheme="minorEastAsia"/>
          <w:bCs/>
          <w:snapToGrid/>
          <w:kern w:val="2"/>
          <w:sz w:val="21"/>
          <w:szCs w:val="21"/>
        </w:rPr>
        <w:t>.柴油机发动机“飞车”故障的原因是（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A.调速器故障</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B.喷油泵柱塞卡在供油位置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C.车速太快</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D.额外的柴油或机油进入气缸燃烧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w:t>
      </w:r>
      <w:r>
        <w:rPr>
          <w:rFonts w:hint="default" w:asciiTheme="minorEastAsia" w:hAnsiTheme="minorEastAsia" w:eastAsiaTheme="minorEastAsia" w:cstheme="minorEastAsia"/>
          <w:bCs/>
          <w:snapToGrid/>
          <w:kern w:val="2"/>
          <w:sz w:val="21"/>
          <w:szCs w:val="21"/>
        </w:rPr>
        <w:t>5</w:t>
      </w:r>
      <w:r>
        <w:rPr>
          <w:rFonts w:hint="eastAsia" w:asciiTheme="minorEastAsia" w:hAnsiTheme="minorEastAsia" w:eastAsiaTheme="minorEastAsia" w:cstheme="minorEastAsia"/>
          <w:bCs/>
          <w:snapToGrid/>
          <w:kern w:val="2"/>
          <w:sz w:val="21"/>
          <w:szCs w:val="21"/>
        </w:rPr>
        <w:t>.机动车辆排放的废气污染物是哪几种（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A.二氧化碳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B.一氧化碳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C.碳氢化合物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D.氮氧化合物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56</w:t>
      </w:r>
      <w:r>
        <w:rPr>
          <w:rFonts w:hint="eastAsia" w:asciiTheme="minorEastAsia" w:hAnsiTheme="minorEastAsia" w:eastAsiaTheme="minorEastAsia" w:cstheme="minorEastAsia"/>
          <w:bCs/>
          <w:snapToGrid/>
          <w:kern w:val="2"/>
          <w:sz w:val="21"/>
          <w:szCs w:val="21"/>
        </w:rPr>
        <w:t>.灭火的方法有（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A.隔离法</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B.冷却法</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C.窒息法</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57</w:t>
      </w:r>
      <w:r>
        <w:rPr>
          <w:rFonts w:hint="eastAsia" w:asciiTheme="minorEastAsia" w:hAnsiTheme="minorEastAsia" w:eastAsiaTheme="minorEastAsia" w:cstheme="minorEastAsia"/>
          <w:bCs/>
          <w:snapToGrid/>
          <w:kern w:val="2"/>
          <w:sz w:val="21"/>
          <w:szCs w:val="21"/>
        </w:rPr>
        <w:t>.一般车辆失火应采取哪些措施（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A.切断电路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B.切断油路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C.人离驾驶室</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58</w:t>
      </w:r>
      <w:r>
        <w:rPr>
          <w:rFonts w:hint="eastAsia" w:asciiTheme="minorEastAsia" w:hAnsiTheme="minorEastAsia" w:eastAsiaTheme="minorEastAsia" w:cstheme="minorEastAsia"/>
          <w:bCs/>
          <w:snapToGrid/>
          <w:kern w:val="2"/>
          <w:sz w:val="21"/>
          <w:szCs w:val="21"/>
        </w:rPr>
        <w:t>.对用人单位管理人员的哪些行为，劳动者有权拒绝执行（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A.违章指挥</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B.强令冒险作业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C.安排工作</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59</w:t>
      </w:r>
      <w:r>
        <w:rPr>
          <w:rFonts w:hint="eastAsia" w:asciiTheme="minorEastAsia" w:hAnsiTheme="minorEastAsia" w:eastAsiaTheme="minorEastAsia" w:cstheme="minorEastAsia"/>
          <w:bCs/>
          <w:snapToGrid/>
          <w:kern w:val="2"/>
          <w:sz w:val="21"/>
          <w:szCs w:val="21"/>
        </w:rPr>
        <w:t>.车辆运行中发现哪些情况应立即停车检查（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A.异声</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B.异味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C.异样</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D.异状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w:t>
      </w:r>
      <w:r>
        <w:rPr>
          <w:rFonts w:hint="default" w:asciiTheme="minorEastAsia" w:hAnsiTheme="minorEastAsia" w:eastAsiaTheme="minorEastAsia" w:cstheme="minorEastAsia"/>
          <w:bCs/>
          <w:snapToGrid/>
          <w:kern w:val="2"/>
          <w:sz w:val="21"/>
          <w:szCs w:val="21"/>
        </w:rPr>
        <w:t>0</w:t>
      </w:r>
      <w:r>
        <w:rPr>
          <w:rFonts w:hint="eastAsia" w:asciiTheme="minorEastAsia" w:hAnsiTheme="minorEastAsia" w:eastAsiaTheme="minorEastAsia" w:cstheme="minorEastAsia"/>
          <w:bCs/>
          <w:snapToGrid/>
          <w:kern w:val="2"/>
          <w:sz w:val="21"/>
          <w:szCs w:val="21"/>
        </w:rPr>
        <w:t>.发动机功率不足的原因是（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A.机件磨损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B.漏气严重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C.燃烧不良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D.温度太高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w:t>
      </w:r>
      <w:r>
        <w:rPr>
          <w:rFonts w:hint="default" w:asciiTheme="minorEastAsia" w:hAnsiTheme="minorEastAsia" w:eastAsiaTheme="minorEastAsia" w:cstheme="minorEastAsia"/>
          <w:bCs/>
          <w:snapToGrid/>
          <w:kern w:val="2"/>
          <w:sz w:val="21"/>
          <w:szCs w:val="21"/>
        </w:rPr>
        <w:t>1</w:t>
      </w:r>
      <w:r>
        <w:rPr>
          <w:rFonts w:hint="eastAsia" w:asciiTheme="minorEastAsia" w:hAnsiTheme="minorEastAsia" w:eastAsiaTheme="minorEastAsia" w:cstheme="minorEastAsia"/>
          <w:bCs/>
          <w:snapToGrid/>
          <w:kern w:val="2"/>
          <w:sz w:val="21"/>
          <w:szCs w:val="21"/>
        </w:rPr>
        <w:t>.制动装置按操纵的方式分为（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A.手制动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B.脚制动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C.全自动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w:t>
      </w:r>
      <w:r>
        <w:rPr>
          <w:rFonts w:hint="default" w:asciiTheme="minorEastAsia" w:hAnsiTheme="minorEastAsia" w:eastAsiaTheme="minorEastAsia" w:cstheme="minorEastAsia"/>
          <w:bCs/>
          <w:snapToGrid/>
          <w:kern w:val="2"/>
          <w:sz w:val="21"/>
          <w:szCs w:val="21"/>
        </w:rPr>
        <w:t>2</w:t>
      </w:r>
      <w:r>
        <w:rPr>
          <w:rFonts w:hint="eastAsia" w:asciiTheme="minorEastAsia" w:hAnsiTheme="minorEastAsia" w:eastAsiaTheme="minorEastAsia" w:cstheme="minorEastAsia"/>
          <w:bCs/>
          <w:snapToGrid/>
          <w:kern w:val="2"/>
          <w:sz w:val="21"/>
          <w:szCs w:val="21"/>
        </w:rPr>
        <w:t>.按事故的事态可分为（     ）等。</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A.运输事故</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B.搬运装卸事故</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C.失火事故</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D.维修事故</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E.翻车事故</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w:t>
      </w:r>
      <w:r>
        <w:rPr>
          <w:rFonts w:hint="default" w:asciiTheme="minorEastAsia" w:hAnsiTheme="minorEastAsia" w:eastAsiaTheme="minorEastAsia" w:cstheme="minorEastAsia"/>
          <w:bCs/>
          <w:snapToGrid/>
          <w:kern w:val="2"/>
          <w:sz w:val="21"/>
          <w:szCs w:val="21"/>
        </w:rPr>
        <w:t>3</w:t>
      </w:r>
      <w:r>
        <w:rPr>
          <w:rFonts w:hint="eastAsia" w:asciiTheme="minorEastAsia" w:hAnsiTheme="minorEastAsia" w:eastAsiaTheme="minorEastAsia" w:cstheme="minorEastAsia"/>
          <w:bCs/>
          <w:snapToGrid/>
          <w:kern w:val="2"/>
          <w:sz w:val="21"/>
          <w:szCs w:val="21"/>
        </w:rPr>
        <w:t>.事故直接原因是指（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A.不安全环境</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B.违章作业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C.不安全行为</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w:t>
      </w:r>
      <w:r>
        <w:rPr>
          <w:rFonts w:hint="default" w:asciiTheme="minorEastAsia" w:hAnsiTheme="minorEastAsia" w:eastAsiaTheme="minorEastAsia" w:cstheme="minorEastAsia"/>
          <w:bCs/>
          <w:snapToGrid/>
          <w:kern w:val="2"/>
          <w:sz w:val="21"/>
          <w:szCs w:val="21"/>
        </w:rPr>
        <w:t>4</w:t>
      </w:r>
      <w:r>
        <w:rPr>
          <w:rFonts w:hint="eastAsia" w:asciiTheme="minorEastAsia" w:hAnsiTheme="minorEastAsia" w:eastAsiaTheme="minorEastAsia" w:cstheme="minorEastAsia"/>
          <w:bCs/>
          <w:snapToGrid/>
          <w:kern w:val="2"/>
          <w:sz w:val="21"/>
          <w:szCs w:val="21"/>
        </w:rPr>
        <w:t>.不安全环境在企业内交通运输中是指（     ）等。</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A.天气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B.作业环境</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C.违章作业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D.车辆使用状况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E.道路条件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答案：ABDE</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w:t>
      </w:r>
      <w:r>
        <w:rPr>
          <w:rFonts w:hint="default" w:asciiTheme="minorEastAsia" w:hAnsiTheme="minorEastAsia" w:eastAsiaTheme="minorEastAsia" w:cstheme="minorEastAsia"/>
          <w:bCs/>
          <w:snapToGrid/>
          <w:kern w:val="2"/>
          <w:sz w:val="21"/>
          <w:szCs w:val="21"/>
        </w:rPr>
        <w:t>5</w:t>
      </w:r>
      <w:r>
        <w:rPr>
          <w:rFonts w:hint="eastAsia" w:asciiTheme="minorEastAsia" w:hAnsiTheme="minorEastAsia" w:eastAsiaTheme="minorEastAsia" w:cstheme="minorEastAsia"/>
          <w:bCs/>
          <w:snapToGrid/>
          <w:kern w:val="2"/>
          <w:sz w:val="21"/>
          <w:szCs w:val="21"/>
        </w:rPr>
        <w:t>.不安全的行为（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A.酒后开车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B.疲劳驾驶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C.违章作业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D.无证驾驶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66</w:t>
      </w:r>
      <w:r>
        <w:rPr>
          <w:rFonts w:hint="eastAsia" w:asciiTheme="minorEastAsia" w:hAnsiTheme="minorEastAsia" w:eastAsiaTheme="minorEastAsia" w:cstheme="minorEastAsia"/>
          <w:bCs/>
          <w:snapToGrid/>
          <w:kern w:val="2"/>
          <w:sz w:val="21"/>
          <w:szCs w:val="21"/>
        </w:rPr>
        <w:t>.下列地点不得停放车辆（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A.距通勤车站</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B.加油站</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C.消防车库门口和消防栓20m以内的地段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67</w:t>
      </w:r>
      <w:r>
        <w:rPr>
          <w:rFonts w:hint="eastAsia" w:asciiTheme="minorEastAsia" w:hAnsiTheme="minorEastAsia" w:eastAsiaTheme="minorEastAsia" w:cstheme="minorEastAsia"/>
          <w:bCs/>
          <w:snapToGrid/>
          <w:kern w:val="2"/>
          <w:sz w:val="21"/>
          <w:szCs w:val="21"/>
        </w:rPr>
        <w:t>.（     ）时，应停止行驶。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A.恶劣天气能见度在5m以内</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B.道路最大纵坡在5%以上</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C.能见度在10m以内</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68</w:t>
      </w:r>
      <w:r>
        <w:rPr>
          <w:rFonts w:hint="eastAsia" w:asciiTheme="minorEastAsia" w:hAnsiTheme="minorEastAsia" w:eastAsiaTheme="minorEastAsia" w:cstheme="minorEastAsia"/>
          <w:bCs/>
          <w:snapToGrid/>
          <w:kern w:val="2"/>
          <w:sz w:val="21"/>
          <w:szCs w:val="21"/>
        </w:rPr>
        <w:t>.车辆的熄火应（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A.先将变速杆置于空挡位置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B.然后拉起手制动杆，让发动机怠速运转数分钟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C.然后拉动熄火拉杆，使发动机熄火</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69</w:t>
      </w:r>
      <w:r>
        <w:rPr>
          <w:rFonts w:hint="eastAsia" w:asciiTheme="minorEastAsia" w:hAnsiTheme="minorEastAsia" w:eastAsiaTheme="minorEastAsia" w:cstheme="minorEastAsia"/>
          <w:bCs/>
          <w:snapToGrid/>
          <w:kern w:val="2"/>
          <w:sz w:val="21"/>
          <w:szCs w:val="21"/>
        </w:rPr>
        <w:t>.日常维护中轮胎的维护（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A.检查轮胎外表及气压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B.更换轮胎</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C.检查轮胎螺母的紧固情况</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D.清除双胎间和胎纹中的嵌石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w:t>
      </w:r>
      <w:r>
        <w:rPr>
          <w:rFonts w:hint="default" w:asciiTheme="minorEastAsia" w:hAnsiTheme="minorEastAsia" w:eastAsiaTheme="minorEastAsia" w:cstheme="minorEastAsia"/>
          <w:bCs/>
          <w:snapToGrid/>
          <w:kern w:val="2"/>
          <w:sz w:val="21"/>
          <w:szCs w:val="21"/>
        </w:rPr>
        <w:t>0</w:t>
      </w:r>
      <w:r>
        <w:rPr>
          <w:rFonts w:hint="eastAsia" w:asciiTheme="minorEastAsia" w:hAnsiTheme="minorEastAsia" w:eastAsiaTheme="minorEastAsia" w:cstheme="minorEastAsia"/>
          <w:bCs/>
          <w:snapToGrid/>
          <w:kern w:val="2"/>
          <w:sz w:val="21"/>
          <w:szCs w:val="21"/>
        </w:rPr>
        <w:t>.疲劳在心理上表现为（     ）等。</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A.动作迟钝</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B.注意力难以集中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C.思维迟钝</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D.反应速度及准确性下降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答案：BCD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w:t>
      </w:r>
      <w:r>
        <w:rPr>
          <w:rFonts w:hint="default" w:asciiTheme="minorEastAsia" w:hAnsiTheme="minorEastAsia" w:eastAsiaTheme="minorEastAsia" w:cstheme="minorEastAsia"/>
          <w:bCs/>
          <w:snapToGrid/>
          <w:kern w:val="2"/>
          <w:sz w:val="21"/>
          <w:szCs w:val="21"/>
        </w:rPr>
        <w:t>1</w:t>
      </w:r>
      <w:r>
        <w:rPr>
          <w:rFonts w:hint="eastAsia" w:asciiTheme="minorEastAsia" w:hAnsiTheme="minorEastAsia" w:eastAsiaTheme="minorEastAsia" w:cstheme="minorEastAsia"/>
          <w:bCs/>
          <w:snapToGrid/>
          <w:kern w:val="2"/>
          <w:sz w:val="21"/>
          <w:szCs w:val="21"/>
        </w:rPr>
        <w:t>.饮酒对人精神和心理方面的影响（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A.首先使人的色彩感觉功能降低，视力受到影响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B.思考、判断能力受到影响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C.对大脑记忆产生危害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D.对各种事物的注意力下降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E.触觉感受性降低</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F.情感发生很大变化，危机感被麻痹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答案：ABCDEF</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w:t>
      </w:r>
      <w:r>
        <w:rPr>
          <w:rFonts w:hint="default" w:asciiTheme="minorEastAsia" w:hAnsiTheme="minorEastAsia" w:eastAsiaTheme="minorEastAsia" w:cstheme="minorEastAsia"/>
          <w:bCs/>
          <w:snapToGrid/>
          <w:kern w:val="2"/>
          <w:sz w:val="21"/>
          <w:szCs w:val="21"/>
        </w:rPr>
        <w:t>2</w:t>
      </w:r>
      <w:r>
        <w:rPr>
          <w:rFonts w:hint="eastAsia" w:asciiTheme="minorEastAsia" w:hAnsiTheme="minorEastAsia" w:eastAsiaTheme="minorEastAsia" w:cstheme="minorEastAsia"/>
          <w:bCs/>
          <w:snapToGrid/>
          <w:kern w:val="2"/>
          <w:sz w:val="21"/>
          <w:szCs w:val="21"/>
        </w:rPr>
        <w:t>.二氧化碳灭火器用于扑灭（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A.电气</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B.精密仪器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C.油类火灾</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w:t>
      </w:r>
      <w:r>
        <w:rPr>
          <w:rFonts w:hint="default" w:asciiTheme="minorEastAsia" w:hAnsiTheme="minorEastAsia" w:eastAsiaTheme="minorEastAsia" w:cstheme="minorEastAsia"/>
          <w:bCs/>
          <w:snapToGrid/>
          <w:kern w:val="2"/>
          <w:sz w:val="21"/>
          <w:szCs w:val="21"/>
        </w:rPr>
        <w:t>3</w:t>
      </w:r>
      <w:r>
        <w:rPr>
          <w:rFonts w:hint="eastAsia" w:asciiTheme="minorEastAsia" w:hAnsiTheme="minorEastAsia" w:eastAsiaTheme="minorEastAsia" w:cstheme="minorEastAsia"/>
          <w:bCs/>
          <w:snapToGrid/>
          <w:kern w:val="2"/>
          <w:sz w:val="21"/>
          <w:szCs w:val="21"/>
        </w:rPr>
        <w:t>.企业内机动车辆普遍备用和携带的灭火器材有（     ）等。它是扑救初起火灾的最有效的灭火工具。</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A.二氧化碳灭火器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B.1301灭火器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C.干粉灭火器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w:t>
      </w:r>
      <w:r>
        <w:rPr>
          <w:rFonts w:hint="default" w:asciiTheme="minorEastAsia" w:hAnsiTheme="minorEastAsia" w:eastAsiaTheme="minorEastAsia" w:cstheme="minorEastAsia"/>
          <w:bCs/>
          <w:snapToGrid/>
          <w:kern w:val="2"/>
          <w:sz w:val="21"/>
          <w:szCs w:val="21"/>
        </w:rPr>
        <w:t>4</w:t>
      </w:r>
      <w:r>
        <w:rPr>
          <w:rFonts w:hint="eastAsia" w:asciiTheme="minorEastAsia" w:hAnsiTheme="minorEastAsia" w:eastAsiaTheme="minorEastAsia" w:cstheme="minorEastAsia"/>
          <w:bCs/>
          <w:snapToGrid/>
          <w:kern w:val="2"/>
          <w:sz w:val="21"/>
          <w:szCs w:val="21"/>
        </w:rPr>
        <w:t>.GB／T18344－2001《汽车维护、检测、诊断技术规范》中对日常维护要求如下（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A.对汽车外观、发动机外表进行清洁，保持车容整洁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B.对汽车各部润滑油（脂）、燃油、冷却液、各种工作介质.轮胎气压进行检视补给</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C.对汽车制动、转向、传动、悬挂、灯光、信号等安全部位和装置以及发动机运转状况进行检视、校紧，确保行车安全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w:t>
      </w:r>
      <w:r>
        <w:rPr>
          <w:rFonts w:hint="default" w:asciiTheme="minorEastAsia" w:hAnsiTheme="minorEastAsia" w:eastAsiaTheme="minorEastAsia" w:cstheme="minorEastAsia"/>
          <w:bCs/>
          <w:snapToGrid/>
          <w:kern w:val="2"/>
          <w:sz w:val="21"/>
          <w:szCs w:val="21"/>
        </w:rPr>
        <w:t>5</w:t>
      </w:r>
      <w:r>
        <w:rPr>
          <w:rFonts w:hint="eastAsia" w:asciiTheme="minorEastAsia" w:hAnsiTheme="minorEastAsia" w:eastAsiaTheme="minorEastAsia" w:cstheme="minorEastAsia"/>
          <w:bCs/>
          <w:snapToGrid/>
          <w:kern w:val="2"/>
          <w:sz w:val="21"/>
          <w:szCs w:val="21"/>
        </w:rPr>
        <w:t>.发动机动力性能应良好，运转（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A.平稳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B.没有异响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C.能正常启动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D.熄火</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76</w:t>
      </w:r>
      <w:r>
        <w:rPr>
          <w:rFonts w:hint="eastAsia" w:asciiTheme="minorEastAsia" w:hAnsiTheme="minorEastAsia" w:eastAsiaTheme="minorEastAsia" w:cstheme="minorEastAsia"/>
          <w:bCs/>
          <w:snapToGrid/>
          <w:kern w:val="2"/>
          <w:sz w:val="21"/>
          <w:szCs w:val="21"/>
        </w:rPr>
        <w:t>.根据安全生产法，从业人员享有的五项权利是：（     ）权。</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A.知情、建议权</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B.拒绝违章指挥权</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C.休息权</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D.批评、检举、控告权</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E.保险外索赔权</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F.遇险停撤权</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答案：ABDEF</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77</w:t>
      </w:r>
      <w:r>
        <w:rPr>
          <w:rFonts w:hint="eastAsia" w:asciiTheme="minorEastAsia" w:hAnsiTheme="minorEastAsia" w:eastAsiaTheme="minorEastAsia" w:cstheme="minorEastAsia"/>
          <w:bCs/>
          <w:snapToGrid/>
          <w:kern w:val="2"/>
          <w:sz w:val="21"/>
          <w:szCs w:val="21"/>
        </w:rPr>
        <w:t>.根据安全生产法，从业人员应当遵守的四项义务是：（     ）的义务。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A.佩带和使用劳保用品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B.钻研技术</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C.遵章作业</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D.接受安全教育培训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E.安全隐患报告</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答案：ACDE</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78</w:t>
      </w:r>
      <w:r>
        <w:rPr>
          <w:rFonts w:hint="eastAsia" w:asciiTheme="minorEastAsia" w:hAnsiTheme="minorEastAsia" w:eastAsiaTheme="minorEastAsia" w:cstheme="minorEastAsia"/>
          <w:bCs/>
          <w:snapToGrid/>
          <w:kern w:val="2"/>
          <w:sz w:val="21"/>
          <w:szCs w:val="21"/>
        </w:rPr>
        <w:t>.特种作业人员必须持双证上岗，即特种作业（     ）证。</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A.合格</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B.资格</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C.上岗</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D.操作资格</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答案：BD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default" w:asciiTheme="minorEastAsia" w:hAnsiTheme="minorEastAsia" w:eastAsiaTheme="minorEastAsia" w:cstheme="minorEastAsia"/>
          <w:bCs/>
          <w:snapToGrid/>
          <w:kern w:val="2"/>
          <w:sz w:val="21"/>
          <w:szCs w:val="21"/>
        </w:rPr>
        <w:t>79</w:t>
      </w:r>
      <w:r>
        <w:rPr>
          <w:rFonts w:hint="eastAsia" w:asciiTheme="minorEastAsia" w:hAnsiTheme="minorEastAsia" w:eastAsiaTheme="minorEastAsia" w:cstheme="minorEastAsia"/>
          <w:bCs/>
          <w:snapToGrid/>
          <w:kern w:val="2"/>
          <w:sz w:val="21"/>
          <w:szCs w:val="21"/>
        </w:rPr>
        <w:t>.从业人员应当具备的基本职业道德是：（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A.爱岗、尽责</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B.文明、礼貌</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C.文明、守则</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D.保证质量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E.严格、守则</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答案：AC</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w:t>
      </w:r>
      <w:r>
        <w:rPr>
          <w:rFonts w:hint="default" w:asciiTheme="minorEastAsia" w:hAnsiTheme="minorEastAsia" w:eastAsiaTheme="minorEastAsia" w:cstheme="minorEastAsia"/>
          <w:bCs/>
          <w:snapToGrid/>
          <w:kern w:val="2"/>
          <w:sz w:val="21"/>
          <w:szCs w:val="21"/>
        </w:rPr>
        <w:t>0</w:t>
      </w:r>
      <w:r>
        <w:rPr>
          <w:rFonts w:hint="eastAsia" w:asciiTheme="minorEastAsia" w:hAnsiTheme="minorEastAsia" w:eastAsiaTheme="minorEastAsia" w:cstheme="minorEastAsia"/>
          <w:bCs/>
          <w:snapToGrid/>
          <w:kern w:val="2"/>
          <w:sz w:val="21"/>
          <w:szCs w:val="21"/>
        </w:rPr>
        <w:t>.特种作业人员应当具备的职业道德是：（     ）。</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A.安全为公</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B.严格自律</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C.好学上进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D.精益求精</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E.团结同志</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F.积极上进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答案：ACD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81.生产经营单位必须遵守《安全生产法》和其他有关安全生产的法律、法规，加强安全生产管理，建立、健全（     ），改善安全生产条件，推进安全生产标准化建设，提高安全生产水平，确保安全生产。</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A.安全生产责任制</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B.安全生产规章制度</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C.安全生产应急预案</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D.安全生产程序</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答案：AB</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82.各级人民政府及其有关部门应当采取多种形式，加强对有关安全生产的（     ）的宣传，增强全社会的安全生产意识。</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A.法规</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B.制度</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C.法律</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D.安全生产知识</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答案：ACD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83.生产经营单位应当建立安全生产教育和培训档案，如实记录安全生产教育和培训的（     ）等情况。</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A.时间</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B.内容</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C.地点</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D.参加人员</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E.考核结果</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答案：ABDE</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84.生产经营单位的从业人员有权了解其作业场所和工作岗位存在的（     ），有权对本单位的安全生产工作提出建议。</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A.危险因素</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B.事故隐患</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C.防范措施</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D.事故应急措施</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答案：ACD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85.事故调查应当遵循的原则是（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A.科学严谨</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B.认真负责</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C.注重实效</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D.实事求是</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E.依法依规</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答案：ACDE</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86.消防工作贯彻预防为主、防消结合的方针，按照（     ）的原则，实行消防安全责任制，建立健全社会化的消防工作网络。</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A.政府统一领导</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B.部门依法监管</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C.单位全面负责</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D.公民积极参与</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答案：ABCD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87.劳动防护用品是保障从业人员劳动过程中人身安全与健康的重要措施之一,下列特种劳动防护用品管理工作，正确的是（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A.及时更换过期的护品</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B.按时报废过期的护品</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C.及时报废失效的护品</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D.使用自制的护品</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E.护品使用前先行检查</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答案：ABCE</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88.劳动防护用品必须具有“三证”，属于“三证”的是（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A.安全鉴定证</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B.生产许可证</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C.检验合格证</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D.产品合格证</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答案：ABD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89.职工工作期间受伤，但有下列哪些情形之一的，不得认定为工伤或视同工伤（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A.故意犯罪的</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B.醉酒或者吸毒的</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C.自残或者自杀的</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D.违反操作规程的</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答案：ABC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90.党的三大优良作风包括（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A.艰苦奋斗</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B.批评与自我批评</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C.密切联系群众</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D.理论联系实际</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答案：BCD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91.港口设施维护分为保养、小修、中修和大修，对技术状态为四类的设施应进行（     ）和（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A.保养</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B.小修</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C.中修</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D.大修</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答案：CD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92.《安全生产法》立法的意义主要体现在（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A.是预防和减少事故的需要</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B.是在安全生产领域落实依法治国方略的需要</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C.是保护人民群众生命和财产安全的需要</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D.是处罚安全生产违法行为的需要</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答案：ABCD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93.《安全生产法》的基本原则有（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A.人身安全第一的原则</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B.诚实信用的原则</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C.权责一致的原则</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D.社会监督、综合治理的原则</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答案：ACD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94.以下属于安全生产大检查“四不两直”的是（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A.不发通知</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B.不用陪同和接待</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C.直击要害</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D.直插现场</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答案：ABD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95.山东港口油品业务目前主要分布在（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A.青岛港</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B.日照港</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C.烟台港</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D.渤海湾港</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答案：ABC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96.“六个融合”是指（     ）、干部融合、业务融合、制度融合、（     ）、文化融合。</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A.思想融合</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B.政策融合</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C.作风融合</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D.服务融合</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97.中国共产党第二十次全国代表大会，是在全党全国各族人民迈上全面建设（     ）国家新征程、向（     ）进军的关键时刻召开的一次十分重要的大会。</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A.社会主义</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B.第一个百年奋斗目标</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 xml:space="preserve">C.社会主义现代化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D.第二个百年奋斗目标</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答案：CD</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98.2023年山东港口发扬企业文化导向、凝聚、激励作用，发力（     ）文化内塑，坚持（     ），规范（     ）、强化文化宣贯，对内凝聚“一家人”亲情合力，对外讲好山港故事。</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A.一体化</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B.一元标准</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 xml:space="preserve">C.文化体系  </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D.价值体系</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答案：ABC</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99.（     ）是国有企业的“根”与“魂”。</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A.坚持党的领导</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B.加强党的建设</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C.关注企业发展</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D.提升企业信誉</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答案：AB</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100.（     ）是中国特色社会主义最本质的特征，是（     ）的最大优势。</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A.中国共产党的领导</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B.中国特色社会主义道路</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C.中国特色社会主义理论</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D.中国特色社会主义制度</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答案：AD</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三、判断题（专业题80题，公共基础题20题，共计100题）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1.三角带和平型带一样，都是利用底面与带轮之间的摩擦力来传递动力的。（×）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2.三角带传递的能力，A型带最小，O型带最大。（×）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3.一般在相同的条件下，三角带传递动力的能力比平型带大，约可增大3倍。（√）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4.带轮直径越小，三角带使用寿命越短。（√）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5.压印在三角带外表面上的标准长度即是三角带的内圆长度。（√）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6.三角带传动的张紧轮，其安装位置应在三角带松边的内侧尽量靠近大带轮一边。（√）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7.普通螺纹的牙型角是60°。（√）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8.普通螺纹的公称直径是指螺纹中径的基本尺寸。（×）</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9.两个相互配合的螺纹，其旋向相同。（√）</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10.M24表明螺纹的大径是24mm。（√）</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11.螺旋传动，不但传动平稳，而且能传递较大动力。（√）</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12.键传动能保证准确的平均传动比，传动功率较大。（√）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13.离基圆越远，渐开线越趋平直。（√）</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14.模数m越大，轮齿的承载能力越大。（√）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15.渐开线齿轮传动中心距稍有变化，其传动比不变，对正常传动没有影响。（√）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16.主动齿轮和从动齿轮的齿距相等，就能保证正确啮合。（×）</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17.蜗杆与蜗轮的轴线在空间互相垂直交错成90°。（√）</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18.通常在蜗轮蜗杆传动中，蜗轮是主动件。（×）</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19.加奇数个惰轮，主、从动轮的转向相反。（×）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20.轮系中某个中间齿轮，可以既是前级的从动轮，又是后级的主动轮。（√）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21.采用摩擦式离合器能起一定的安全保护作用。（√）</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22.制动器一般安装在机构转速较低的轴上，以便提高制动效果。（√）</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23.在电路中，电流的方向与电压的方向总是相同。（√）</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24.从定义上看，电位和电压相似，电位改变，电压也跟着改变。（×）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25.导体的长度和截面积都增大一倍，其电阻也增大一倍。（×）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26.电阻并联后的总电阻值小于其中任一只电阻的阻值。（√）</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27.在电阻串联的分压电路中，电阻值越大，其两端分得的电压就越高。（√）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28.在电阻并联的分流电路中，电阻值越小，则流过该电阻的电流也越小。（×）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29.电源的电动势的大小由电源本身的性质所决定，与外电路无关。（√）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30.熔断器的熔体熔断后，可用铜丝、铁丝等导电物体来代替，继续工作。（×）</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31.配制电瓶电解液时，应将蒸馏水倒入硫酸中。（×）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32.内燃机的混合气是在气缸内形成的。（×）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33.柴油机的压缩比比汽油机的压缩比高。（√）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34.柴油机的耗油率比汽油机低。（√）</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35.当工作容积和转速相同时二行程汽油机比四行程汽油机的功率大。（√）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36.耗油量大，则内燃机的经济性差。（×）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37.耗油率大，则内燃机的经济性差。（√）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38.在曲轴后端部装一飞轮可提高曲轴运转的平稳性。（√）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39.采用多缸发动机可提高曲轴运转的平稳性。（√）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40.曲轴轴线与油底壳安装平面在同一平面上的称为龙门式气缸体。（√）</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41.活塞头部的直径比裙部直径小。（√）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42.为了保证发动机运转平稳性，各缸活塞的重量差别不能太大。（√）</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43.连杆有了裂缝可以用焊补方法加以修复。（×）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44.在拆卸飞轮前应和曲轴接盘做好标记，安装时必须对准标记，以免破坏平衡。（√）</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45.发动机的充气系数总是小于1。（√）</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46.侧置气门式配气机构有利于发动机充气和排出废气，因而发动机动力性和经济性较好。（×）</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47.顶置气门式配气机构有利于发动机充气和排出废气，因而发动机动力性和经济性较好。（√）</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48.排气门的工作温度高于进气门的工作温度。（√）</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49.气门的材料一般选用铬钢或硅铬钢。（×）</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50.有的发动机采用双气门弹簧可防止弹簧发生共振而产生折断。（√）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51.准时齿轮是联系曲轴和凸轮轴的，其传动比必定为2。（√）</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52.准时齿轮在安装时一定要对准安装标记。（√）</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53.气门间隙过大、过小都会使发动机功率下降。（√）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54.辛烷值越高，汽油的抗爆性能越差。（×）</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55.发动机在各种工况下对可燃混合气浓度要求是不同的。（</w:t>
      </w:r>
      <w:bookmarkStart w:id="3" w:name="_Hlk109118891"/>
      <w:r>
        <w:rPr>
          <w:rFonts w:hint="eastAsia" w:asciiTheme="minorEastAsia" w:hAnsiTheme="minorEastAsia" w:eastAsiaTheme="minorEastAsia" w:cstheme="minorEastAsia"/>
          <w:bCs/>
          <w:snapToGrid/>
          <w:kern w:val="2"/>
          <w:sz w:val="21"/>
          <w:szCs w:val="21"/>
        </w:rPr>
        <w:t>√</w:t>
      </w:r>
      <w:bookmarkEnd w:id="3"/>
      <w:r>
        <w:rPr>
          <w:rFonts w:hint="eastAsia" w:asciiTheme="minorEastAsia" w:hAnsiTheme="minorEastAsia" w:eastAsiaTheme="minorEastAsia" w:cstheme="minorEastAsia"/>
          <w:bCs/>
          <w:snapToGrid/>
          <w:kern w:val="2"/>
          <w:sz w:val="21"/>
          <w:szCs w:val="21"/>
        </w:rPr>
        <w:t>）</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56.气油泵的最大供油量要大于等于发动机的最大耗油量。（×）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57.柴油是以粘度作为柴油的牌号的。（×）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58.柴油是以其凝点划分柴油的牌号的。（√）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59.多缸柴油机各缸供油量应均匀，在标定工况下，不均匀度不应大于6%～8%。（×）</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60.喷油提前角过大，会使柴油机工作粗暴、怠速不稳、起动困难。（√）</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61.喷油提前角过小，会使柴油机排气冒白烟，动力性和经济性下降。（√）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62.柴油滤清器通常安装在输油泵和喷油泵之间的管路中。（×）</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63.内燃机工作时，可燃混合气是依靠高压电流产生的火花放电来点燃的。（×）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64.汽油机工作时，可燃混合气是依靠高压电流产生的火花放电来点燃的。（√）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65.发动机温度过高.过低，都会使润滑变坏，加剧机件磨损。（√）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66.节温器损坏会使发动机温度迅速升高。（×）</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67.内燃机的润滑采用强制润滑方式。（×）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68.汽油机的启动转速高于柴油机的启动转速。（×）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69.钢丝绳在一个节距内的断丝根数达到15%才能予以报废。（×）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70.起重吊索应选用同向捻钢丝绳。（×）</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71.钢丝绳用绳卡连接时，绳卡压板应放在钢丝绳长绳一边。（√）</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72.因为钢丝绳有安全系数，所以在使用时可允许钢丝绳一定的超载。（×）</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73.两根等长钢丝绳吊装设备，其水平夹角越大，吊索受力越小。（√）</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74.钢丝绳用绳卡连接时，绳卡间距不得小于钢丝绳直径的六倍。（√）</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75.滑轮直径越小，对钢丝绳的寿命越有利。（×）</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76.钢丝绳直径减少达原直径10%应予以报废。（×）</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77.在吊运物体时，虽未找正重心，由于钢丝绳绑扎牢固也不会倾倒。（×）</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78.滑轮的槽径应大于钢丝绳的直径。（√）</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79.为了保证物件在吊运中平稳，吊钩中心与物体重心直在同一垂直线上。（√）</w:t>
      </w:r>
    </w:p>
    <w:p>
      <w:pPr>
        <w:adjustRightInd/>
        <w:snapToGrid/>
        <w:spacing w:line="400" w:lineRule="exact"/>
        <w:ind w:firstLine="420" w:firstLineChars="200"/>
        <w:rPr>
          <w:rFonts w:hint="default"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80.在危险区域施工应设有警戒线或警告牌等明显警告标志。（√）</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81.对违反消防法规定，构成犯罪的，依法追究刑事责任。（√）</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82.消防工作贯彻预防为主.防消结合的方针，按照政府统一领导.部门依法监管.单位全面负责.公民积极参与的原则，实行消防安全责任制，建立健全社会化的消防工作网络。（√）</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83.产生职业病危害的用人单位的工作场所应当生产布局合理，符合有害与无害作业分开的原则。（√）</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84.用人单位应当在醒目位置设置公告栏，公布有关职业病防治的规章制度.操作规程.职业病危害事故应急救援措施和职工职业病检查结果。（×）</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85.职业病病人变动工作单位，其依法享有的待遇终止。（×）</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86.工伤人员在享有工伤社会保险后，不可再向本单位提出赔偿要求（×）</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87.安全设备的设计</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制造</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安装</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使用</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检测</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维修</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改造和报废,应当符合国家标准或者企业标准（×）</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88.安全技术说明书中，同类物</w:t>
      </w:r>
      <w:r>
        <w:rPr>
          <w:rFonts w:hint="eastAsia" w:asciiTheme="minorEastAsia" w:hAnsiTheme="minorEastAsia" w:eastAsiaTheme="minorEastAsia" w:cstheme="minorEastAsia"/>
          <w:bCs/>
          <w:snapToGrid/>
          <w:kern w:val="2"/>
          <w:sz w:val="21"/>
          <w:szCs w:val="21"/>
          <w:lang w:eastAsia="zh-CN"/>
        </w:rPr>
        <w:t>、</w:t>
      </w:r>
      <w:r>
        <w:rPr>
          <w:rFonts w:hint="eastAsia" w:asciiTheme="minorEastAsia" w:hAnsiTheme="minorEastAsia" w:eastAsiaTheme="minorEastAsia" w:cstheme="minorEastAsia"/>
          <w:bCs/>
          <w:snapToGrid/>
          <w:kern w:val="2"/>
          <w:sz w:val="21"/>
          <w:szCs w:val="21"/>
        </w:rPr>
        <w:t>同系物的技术说明书可以相互替代。（×）</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89.因工外出期间，由于工作原因受到伤害或者发生事故下落不明的不应认定为工伤。（×）</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rPr>
      </w:pPr>
      <w:r>
        <w:rPr>
          <w:rFonts w:hint="eastAsia" w:asciiTheme="minorEastAsia" w:hAnsiTheme="minorEastAsia" w:eastAsiaTheme="minorEastAsia" w:cstheme="minorEastAsia"/>
          <w:bCs/>
          <w:snapToGrid/>
          <w:kern w:val="2"/>
          <w:sz w:val="21"/>
          <w:szCs w:val="21"/>
        </w:rPr>
        <w:t>90.轻度的中暑可采取急救措施为患者补水，降温等，若出现重症中暑应立即将患者送院治疗，千万不可拖延病情。（√）</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91</w:t>
      </w:r>
      <w:r>
        <w:rPr>
          <w:rFonts w:hint="eastAsia" w:asciiTheme="minorEastAsia" w:hAnsiTheme="minorEastAsia" w:eastAsiaTheme="minorEastAsia" w:cstheme="minorEastAsia"/>
          <w:bCs/>
          <w:snapToGrid/>
          <w:kern w:val="2"/>
          <w:sz w:val="21"/>
          <w:szCs w:val="21"/>
          <w:lang w:val="en-US"/>
        </w:rPr>
        <w:t>.党的二十大召开后，根据上级要求，适时举办专题学习班，以历次全会精神为指引把学习贯彻习近平新时代中国特色社会主义思想引向深入。</w:t>
      </w:r>
      <w:r>
        <w:rPr>
          <w:rFonts w:hint="eastAsia" w:asciiTheme="minorEastAsia" w:hAnsiTheme="minorEastAsia" w:eastAsiaTheme="minorEastAsia" w:cstheme="minorEastAsia"/>
          <w:bCs/>
          <w:snapToGrid/>
          <w:kern w:val="2"/>
          <w:sz w:val="21"/>
          <w:szCs w:val="21"/>
          <w:lang w:val="en-US" w:eastAsia="zh-CN"/>
        </w:rPr>
        <w:t>（×）</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92</w:t>
      </w:r>
      <w:r>
        <w:rPr>
          <w:rFonts w:hint="eastAsia" w:asciiTheme="minorEastAsia" w:hAnsiTheme="minorEastAsia" w:eastAsiaTheme="minorEastAsia" w:cstheme="minorEastAsia"/>
          <w:bCs/>
          <w:snapToGrid/>
          <w:kern w:val="2"/>
          <w:sz w:val="21"/>
          <w:szCs w:val="21"/>
          <w:lang w:val="en-US"/>
        </w:rPr>
        <w:t>.山东港口组建之初，坚持稳中求进，确定了整合、融合、耦合“三步走”的总体思路。</w:t>
      </w:r>
      <w:r>
        <w:rPr>
          <w:rFonts w:hint="eastAsia" w:asciiTheme="minorEastAsia" w:hAnsiTheme="minorEastAsia" w:eastAsiaTheme="minorEastAsia" w:cstheme="minorEastAsia"/>
          <w:bCs/>
          <w:snapToGrid/>
          <w:kern w:val="2"/>
          <w:sz w:val="21"/>
          <w:szCs w:val="21"/>
          <w:lang w:val="en-US" w:eastAsia="zh-CN"/>
        </w:rPr>
        <w:t>（√）</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93.“两个维护”：坚决维护习近平总书记党中央的核心、全党的核心地位，坚决维护党中央权威和集中统一领导。（√）</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94.融合是整个山东港口打破传统地域、边界、壁垒，实现融容共生的全新涅槃。（√）</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95.习近平总书记在国企党建工作会议上提出的“两个一以贯之”：坚持党对国有企业的领导是重大政治原则，必须一以贯之；建立现代企业制度是国有企业改革的方向，必须一以贯之。（√）</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96.港口货物吞吐量按货物流向分为进港吞吐量和出港吞吐量。（√）</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97.集团公司打造港口生态圈是坚持主动、创新、竞合、共赢的原则。（√）</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98.《科技进步法》规定，国家设立基金，资助国有企业开展技术创新，推动科技成果转化与应用。（×）</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99.《关于建设世界一流港口的指导意见》中提到，健全环保标准制度，强化散货作业防尘抑尘措施，推进原油、成品油装船码头油气回收。（√）</w:t>
      </w:r>
    </w:p>
    <w:p>
      <w:pPr>
        <w:adjustRightInd/>
        <w:snapToGrid/>
        <w:spacing w:line="400" w:lineRule="exact"/>
        <w:ind w:firstLine="420" w:firstLineChars="200"/>
        <w:rPr>
          <w:rFonts w:hint="eastAsia" w:asciiTheme="minorEastAsia" w:hAnsiTheme="minorEastAsia" w:eastAsiaTheme="minorEastAsia" w:cstheme="minorEastAsia"/>
          <w:bCs/>
          <w:snapToGrid/>
          <w:kern w:val="2"/>
          <w:sz w:val="21"/>
          <w:szCs w:val="21"/>
          <w:lang w:val="en-US" w:eastAsia="zh-CN"/>
        </w:rPr>
      </w:pPr>
      <w:r>
        <w:rPr>
          <w:rFonts w:hint="eastAsia" w:asciiTheme="minorEastAsia" w:hAnsiTheme="minorEastAsia" w:eastAsiaTheme="minorEastAsia" w:cstheme="minorEastAsia"/>
          <w:bCs/>
          <w:snapToGrid/>
          <w:kern w:val="2"/>
          <w:sz w:val="21"/>
          <w:szCs w:val="21"/>
          <w:lang w:val="en-US" w:eastAsia="zh-CN"/>
        </w:rPr>
        <w:t>100.港口布局规划应当符合港口总体规划。（×）</w:t>
      </w:r>
    </w:p>
    <w:p>
      <w:pPr>
        <w:pStyle w:val="2"/>
        <w:rPr>
          <w:sz w:val="21"/>
          <w:szCs w:val="16"/>
        </w:rPr>
      </w:pPr>
    </w:p>
    <w:p>
      <w:pPr>
        <w:adjustRightInd/>
        <w:snapToGrid/>
        <w:spacing w:line="400" w:lineRule="exact"/>
        <w:ind w:firstLine="720" w:firstLineChars="200"/>
        <w:rPr>
          <w:rFonts w:hint="eastAsia" w:ascii="黑体" w:hAnsi="黑体" w:eastAsia="黑体"/>
          <w:sz w:val="36"/>
          <w:szCs w:val="40"/>
        </w:rPr>
      </w:pPr>
    </w:p>
    <w:p>
      <w:pPr>
        <w:adjustRightInd/>
        <w:snapToGrid/>
        <w:spacing w:line="400" w:lineRule="exact"/>
        <w:ind w:firstLine="720" w:firstLineChars="200"/>
        <w:rPr>
          <w:rFonts w:hint="eastAsia" w:ascii="黑体" w:hAnsi="黑体" w:eastAsia="黑体"/>
          <w:sz w:val="36"/>
          <w:szCs w:val="40"/>
        </w:rPr>
      </w:pPr>
    </w:p>
    <w:p>
      <w:pPr>
        <w:adjustRightInd/>
        <w:snapToGrid/>
        <w:spacing w:line="400" w:lineRule="exact"/>
        <w:ind w:firstLine="720" w:firstLineChars="200"/>
        <w:rPr>
          <w:rFonts w:hint="eastAsia" w:ascii="黑体" w:hAnsi="黑体" w:eastAsia="黑体"/>
          <w:sz w:val="36"/>
          <w:szCs w:val="40"/>
        </w:rPr>
      </w:pPr>
    </w:p>
    <w:p>
      <w:pPr>
        <w:adjustRightInd/>
        <w:snapToGrid/>
        <w:spacing w:line="400" w:lineRule="exact"/>
        <w:ind w:firstLine="720" w:firstLineChars="200"/>
        <w:rPr>
          <w:rFonts w:hint="eastAsia" w:ascii="黑体" w:hAnsi="黑体" w:eastAsia="黑体"/>
          <w:sz w:val="36"/>
          <w:szCs w:val="40"/>
        </w:rPr>
      </w:pPr>
    </w:p>
    <w:p>
      <w:pPr>
        <w:adjustRightInd/>
        <w:snapToGrid/>
        <w:spacing w:line="400" w:lineRule="exact"/>
        <w:ind w:firstLine="720" w:firstLineChars="200"/>
        <w:rPr>
          <w:rFonts w:hint="eastAsia" w:ascii="黑体" w:hAnsi="黑体" w:eastAsia="黑体"/>
          <w:sz w:val="36"/>
          <w:szCs w:val="40"/>
        </w:rPr>
      </w:pPr>
    </w:p>
    <w:p>
      <w:pPr>
        <w:adjustRightInd/>
        <w:snapToGrid/>
        <w:spacing w:line="400" w:lineRule="exact"/>
        <w:ind w:firstLine="720" w:firstLineChars="200"/>
        <w:rPr>
          <w:rFonts w:hint="eastAsia" w:ascii="黑体" w:hAnsi="黑体" w:eastAsia="黑体"/>
          <w:sz w:val="36"/>
          <w:szCs w:val="40"/>
        </w:rPr>
      </w:pPr>
    </w:p>
    <w:p>
      <w:pPr>
        <w:adjustRightInd/>
        <w:snapToGrid/>
        <w:spacing w:line="400" w:lineRule="exact"/>
        <w:ind w:firstLine="720" w:firstLineChars="200"/>
        <w:rPr>
          <w:rFonts w:hint="eastAsia" w:ascii="黑体" w:hAnsi="黑体" w:eastAsia="黑体"/>
          <w:sz w:val="36"/>
          <w:szCs w:val="40"/>
        </w:rPr>
      </w:pPr>
    </w:p>
    <w:p>
      <w:pPr>
        <w:adjustRightInd/>
        <w:snapToGrid/>
        <w:spacing w:line="400" w:lineRule="exact"/>
        <w:ind w:firstLine="720" w:firstLineChars="200"/>
        <w:rPr>
          <w:rFonts w:hint="eastAsia" w:ascii="黑体" w:hAnsi="黑体" w:eastAsia="黑体"/>
          <w:sz w:val="36"/>
          <w:szCs w:val="40"/>
        </w:rPr>
      </w:pPr>
    </w:p>
    <w:p>
      <w:pPr>
        <w:adjustRightInd/>
        <w:snapToGrid/>
        <w:spacing w:line="400" w:lineRule="exact"/>
        <w:ind w:firstLine="720" w:firstLineChars="200"/>
        <w:rPr>
          <w:rFonts w:hint="eastAsia" w:ascii="黑体" w:hAnsi="黑体" w:eastAsia="黑体"/>
          <w:sz w:val="36"/>
          <w:szCs w:val="40"/>
        </w:rPr>
      </w:pPr>
    </w:p>
    <w:p>
      <w:pPr>
        <w:adjustRightInd/>
        <w:snapToGrid/>
        <w:spacing w:line="400" w:lineRule="exact"/>
        <w:ind w:left="0" w:leftChars="0" w:firstLine="0" w:firstLineChars="0"/>
        <w:rPr>
          <w:rFonts w:hint="eastAsia" w:ascii="黑体" w:hAnsi="黑体" w:eastAsia="黑体"/>
          <w:sz w:val="36"/>
          <w:szCs w:val="40"/>
          <w:lang w:eastAsia="zh-CN"/>
        </w:rPr>
      </w:pPr>
      <w:r>
        <w:rPr>
          <w:rFonts w:hint="eastAsia" w:ascii="黑体" w:hAnsi="黑体" w:eastAsia="黑体"/>
          <w:sz w:val="36"/>
          <w:szCs w:val="40"/>
        </w:rPr>
        <w:t>附件</w:t>
      </w:r>
      <w:r>
        <w:rPr>
          <w:rFonts w:hint="eastAsia" w:ascii="黑体" w:hAnsi="黑体" w:eastAsia="黑体"/>
          <w:sz w:val="36"/>
          <w:szCs w:val="40"/>
          <w:lang w:val="en-US" w:eastAsia="zh-CN"/>
        </w:rPr>
        <w:t>4</w:t>
      </w:r>
    </w:p>
    <w:p>
      <w:pPr>
        <w:spacing w:line="560" w:lineRule="exact"/>
        <w:jc w:val="center"/>
        <w:rPr>
          <w:rFonts w:ascii="方正小标宋简体" w:hAnsi="方正小标宋简体" w:eastAsia="方正小标宋简体" w:cs="方正小标宋简体"/>
          <w:sz w:val="40"/>
          <w:szCs w:val="44"/>
        </w:rPr>
      </w:pPr>
      <w:r>
        <w:rPr>
          <w:rFonts w:hint="eastAsia" w:ascii="方正小标宋简体" w:hAnsi="方正小标宋简体" w:eastAsia="方正小标宋简体" w:cs="方正小标宋简体"/>
          <w:sz w:val="40"/>
          <w:szCs w:val="44"/>
          <w:lang w:eastAsia="zh-CN"/>
        </w:rPr>
        <w:t>挖掘机司机</w:t>
      </w:r>
      <w:r>
        <w:rPr>
          <w:rFonts w:hint="eastAsia" w:ascii="方正小标宋简体" w:hAnsi="方正小标宋简体" w:eastAsia="方正小标宋简体" w:cs="方正小标宋简体"/>
          <w:sz w:val="40"/>
          <w:szCs w:val="44"/>
        </w:rPr>
        <w:t>项目参赛须知</w:t>
      </w:r>
    </w:p>
    <w:p>
      <w:pPr>
        <w:spacing w:line="560" w:lineRule="exact"/>
        <w:jc w:val="center"/>
        <w:rPr>
          <w:rFonts w:ascii="方正小标宋简体" w:hAnsi="方正小标宋简体" w:eastAsia="方正小标宋简体" w:cs="方正小标宋简体"/>
          <w:sz w:val="44"/>
          <w:szCs w:val="48"/>
        </w:rPr>
      </w:pPr>
    </w:p>
    <w:p>
      <w:pPr>
        <w:spacing w:line="560" w:lineRule="exact"/>
        <w:ind w:firstLine="640" w:firstLineChars="200"/>
        <w:rPr>
          <w:rFonts w:ascii="仿宋_GB2312" w:eastAsia="仿宋_GB2312"/>
          <w:sz w:val="32"/>
          <w:szCs w:val="36"/>
        </w:rPr>
      </w:pPr>
      <w:r>
        <w:rPr>
          <w:rFonts w:ascii="仿宋_GB2312" w:eastAsia="仿宋_GB2312"/>
          <w:sz w:val="32"/>
          <w:szCs w:val="36"/>
        </w:rPr>
        <w:t>1</w:t>
      </w:r>
      <w:r>
        <w:rPr>
          <w:rFonts w:hint="eastAsia" w:ascii="仿宋_GB2312" w:eastAsia="仿宋_GB2312"/>
          <w:sz w:val="32"/>
          <w:szCs w:val="36"/>
        </w:rPr>
        <w:t>.参赛选手按要求凭身份证参加竞赛，携带特种设备操作证，未携带证件不能参赛。</w:t>
      </w:r>
    </w:p>
    <w:p>
      <w:pPr>
        <w:spacing w:line="560" w:lineRule="exact"/>
        <w:ind w:firstLine="640" w:firstLineChars="200"/>
        <w:rPr>
          <w:rFonts w:ascii="仿宋_GB2312" w:eastAsia="仿宋_GB2312"/>
          <w:sz w:val="32"/>
          <w:szCs w:val="36"/>
        </w:rPr>
      </w:pPr>
      <w:r>
        <w:rPr>
          <w:rFonts w:ascii="仿宋_GB2312" w:eastAsia="仿宋_GB2312"/>
          <w:sz w:val="32"/>
          <w:szCs w:val="36"/>
        </w:rPr>
        <w:t>2</w:t>
      </w:r>
      <w:r>
        <w:rPr>
          <w:rFonts w:hint="eastAsia" w:ascii="仿宋_GB2312" w:eastAsia="仿宋_GB2312"/>
          <w:sz w:val="32"/>
          <w:szCs w:val="36"/>
        </w:rPr>
        <w:t>.理论知识考试请参赛选手提前15分钟到达考场，遵守赛场纪律，听从工作人员安排，严禁携带通讯设备进入考场。</w:t>
      </w:r>
    </w:p>
    <w:p>
      <w:pPr>
        <w:spacing w:line="560" w:lineRule="exact"/>
        <w:ind w:firstLine="640" w:firstLineChars="200"/>
        <w:rPr>
          <w:rFonts w:ascii="仿宋_GB2312" w:eastAsia="仿宋_GB2312"/>
          <w:sz w:val="32"/>
          <w:szCs w:val="36"/>
        </w:rPr>
      </w:pPr>
      <w:r>
        <w:rPr>
          <w:rFonts w:ascii="仿宋_GB2312" w:eastAsia="仿宋_GB2312"/>
          <w:sz w:val="32"/>
          <w:szCs w:val="36"/>
        </w:rPr>
        <w:t>3</w:t>
      </w:r>
      <w:r>
        <w:rPr>
          <w:rFonts w:hint="eastAsia" w:ascii="仿宋_GB2312" w:eastAsia="仿宋_GB2312"/>
          <w:sz w:val="32"/>
          <w:szCs w:val="36"/>
        </w:rPr>
        <w:t>.参赛选手必须按规定时间参赛。检录3次未到的，按弃权处理。选手检录后在现场工作人员的引导下等候竞赛，不得擅自走动离开赛场，否则视为放弃竞赛。</w:t>
      </w:r>
    </w:p>
    <w:p>
      <w:pPr>
        <w:spacing w:line="560" w:lineRule="exact"/>
        <w:ind w:firstLine="640" w:firstLineChars="200"/>
        <w:rPr>
          <w:rFonts w:ascii="仿宋_GB2312" w:eastAsia="仿宋_GB2312"/>
          <w:sz w:val="32"/>
          <w:szCs w:val="36"/>
        </w:rPr>
      </w:pPr>
      <w:r>
        <w:rPr>
          <w:rFonts w:ascii="仿宋_GB2312" w:eastAsia="仿宋_GB2312"/>
          <w:sz w:val="32"/>
          <w:szCs w:val="36"/>
        </w:rPr>
        <w:t>4</w:t>
      </w:r>
      <w:r>
        <w:rPr>
          <w:rFonts w:hint="eastAsia" w:ascii="仿宋_GB2312" w:eastAsia="仿宋_GB2312"/>
          <w:sz w:val="32"/>
          <w:szCs w:val="36"/>
        </w:rPr>
        <w:t>.选手如遇到设备或其他影响竞赛的问题，应及时举手示意，由工作人员处理。竞赛时间结束，选手应立即停止操作，不得以任何理由拖延竞赛时间。提前完成竞赛项目的，经现场工作人员同意后方可离开。离开赛场时不得带走与竞赛相关的资料或物品。</w:t>
      </w:r>
    </w:p>
    <w:p>
      <w:pPr>
        <w:spacing w:line="560" w:lineRule="exact"/>
        <w:ind w:firstLine="640" w:firstLineChars="200"/>
        <w:rPr>
          <w:rFonts w:ascii="仿宋_GB2312" w:eastAsia="仿宋_GB2312"/>
          <w:sz w:val="32"/>
          <w:szCs w:val="36"/>
        </w:rPr>
      </w:pPr>
      <w:r>
        <w:rPr>
          <w:rFonts w:ascii="仿宋_GB2312" w:eastAsia="仿宋_GB2312"/>
          <w:sz w:val="32"/>
          <w:szCs w:val="36"/>
        </w:rPr>
        <w:t>5</w:t>
      </w:r>
      <w:r>
        <w:rPr>
          <w:rFonts w:hint="eastAsia" w:ascii="仿宋_GB2312" w:eastAsia="仿宋_GB2312"/>
          <w:sz w:val="32"/>
          <w:szCs w:val="36"/>
        </w:rPr>
        <w:t>.完成竞赛后，选手应向裁判员报告，待裁判长、裁判员在选手各项目评分表上签字确认后，方可离开竞赛现场。</w:t>
      </w:r>
    </w:p>
    <w:p>
      <w:pPr>
        <w:spacing w:line="560" w:lineRule="exact"/>
        <w:ind w:firstLine="640" w:firstLineChars="200"/>
        <w:rPr>
          <w:rFonts w:ascii="仿宋_GB2312" w:eastAsia="仿宋_GB2312"/>
          <w:sz w:val="32"/>
          <w:szCs w:val="36"/>
        </w:rPr>
      </w:pPr>
      <w:r>
        <w:rPr>
          <w:rFonts w:ascii="仿宋_GB2312" w:eastAsia="仿宋_GB2312"/>
          <w:sz w:val="32"/>
          <w:szCs w:val="36"/>
        </w:rPr>
        <w:t>6</w:t>
      </w:r>
      <w:r>
        <w:rPr>
          <w:rFonts w:hint="eastAsia" w:ascii="仿宋_GB2312" w:eastAsia="仿宋_GB2312"/>
          <w:sz w:val="32"/>
          <w:szCs w:val="36"/>
        </w:rPr>
        <w:t>.竞赛前工作人员打开电子考评系统，检查系统是否正常，如发现设备故障，应立即报告裁判长，申请是否正常开始竞赛。</w:t>
      </w:r>
    </w:p>
    <w:p>
      <w:pPr>
        <w:spacing w:line="560" w:lineRule="exact"/>
        <w:ind w:firstLine="640" w:firstLineChars="200"/>
        <w:rPr>
          <w:rFonts w:hint="eastAsia" w:ascii="仿宋_GB2312" w:eastAsia="仿宋_GB2312"/>
          <w:sz w:val="32"/>
          <w:szCs w:val="36"/>
        </w:rPr>
      </w:pPr>
      <w:r>
        <w:rPr>
          <w:rFonts w:ascii="仿宋_GB2312" w:eastAsia="仿宋_GB2312"/>
          <w:sz w:val="32"/>
          <w:szCs w:val="36"/>
        </w:rPr>
        <w:t>7</w:t>
      </w:r>
      <w:r>
        <w:rPr>
          <w:rFonts w:hint="eastAsia" w:ascii="仿宋_GB2312" w:eastAsia="仿宋_GB2312"/>
          <w:sz w:val="32"/>
          <w:szCs w:val="36"/>
        </w:rPr>
        <w:t>.竞赛开始前裁判员和工作人员要提前检查竞赛机械设备及道具、器材等物品是否符合竞赛要求，并按要求摆放至竞赛工位。</w:t>
      </w:r>
    </w:p>
    <w:p/>
    <w:sectPr>
      <w:pgSz w:w="11906" w:h="16838"/>
      <w:pgMar w:top="1440" w:right="1803" w:bottom="1440" w:left="1803" w:header="851" w:footer="992" w:gutter="0"/>
      <w:pgNumType w:fmt="numberInDash"/>
      <w:cols w:space="0" w:num="1"/>
      <w:docGrid w:type="lines" w:linePitch="44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450"/>
        <w:tab w:val="left" w:pos="5175"/>
      </w:tabs>
      <w:ind w:firstLine="0" w:firstLineChars="0"/>
      <w:rPr>
        <w:rFonts w:ascii="Times New Roman" w:hAnsi="Times New Roman" w:cs="Times New Roman"/>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86435" cy="355600"/>
              <wp:effectExtent l="0" t="0" r="3810" b="0"/>
              <wp:wrapNone/>
              <wp:docPr id="1"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686435" cy="355600"/>
                      </a:xfrm>
                      <a:prstGeom prst="rect">
                        <a:avLst/>
                      </a:prstGeom>
                      <a:noFill/>
                      <a:ln>
                        <a:noFill/>
                      </a:ln>
                    </wps:spPr>
                    <wps:txbx>
                      <w:txbxContent>
                        <w:p>
                          <w:pPr>
                            <w:pStyle w:val="6"/>
                            <w:tabs>
                              <w:tab w:val="center" w:pos="4450"/>
                              <w:tab w:val="left" w:pos="5175"/>
                            </w:tabs>
                            <w:ind w:firstLine="480"/>
                          </w:pPr>
                          <w:r>
                            <w:rPr>
                              <w:rFonts w:hint="eastAsia" w:ascii="宋体" w:hAnsi="宋体" w:eastAsia="宋体"/>
                              <w:sz w:val="24"/>
                              <w:szCs w:val="24"/>
                            </w:rPr>
                            <w:fldChar w:fldCharType="begin"/>
                          </w:r>
                          <w:r>
                            <w:rPr>
                              <w:rFonts w:hint="eastAsia" w:ascii="宋体" w:hAnsi="宋体" w:eastAsia="宋体"/>
                              <w:sz w:val="24"/>
                              <w:szCs w:val="24"/>
                            </w:rPr>
                            <w:instrText xml:space="preserve">PAGE   \* MERGEFORMAT</w:instrText>
                          </w:r>
                          <w:r>
                            <w:rPr>
                              <w:rFonts w:hint="eastAsia" w:ascii="宋体" w:hAnsi="宋体" w:eastAsia="宋体"/>
                              <w:sz w:val="24"/>
                              <w:szCs w:val="24"/>
                            </w:rPr>
                            <w:fldChar w:fldCharType="separate"/>
                          </w:r>
                          <w:r>
                            <w:rPr>
                              <w:rFonts w:ascii="宋体" w:hAnsi="宋体" w:eastAsia="宋体"/>
                              <w:sz w:val="24"/>
                              <w:szCs w:val="24"/>
                              <w:lang w:val="zh-CN"/>
                            </w:rPr>
                            <w:t>-</w:t>
                          </w:r>
                          <w:r>
                            <w:rPr>
                              <w:rFonts w:ascii="宋体" w:hAnsi="宋体" w:eastAsia="宋体"/>
                              <w:sz w:val="24"/>
                              <w:szCs w:val="24"/>
                            </w:rPr>
                            <w:t xml:space="preserve"> 8 -</w:t>
                          </w:r>
                          <w:r>
                            <w:rPr>
                              <w:rFonts w:hint="eastAsia" w:ascii="宋体" w:hAnsi="宋体" w:eastAsia="宋体"/>
                              <w:sz w:val="24"/>
                              <w:szCs w:val="24"/>
                            </w:rP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28pt;width:54.05pt;mso-position-horizontal:center;mso-position-horizontal-relative:margin;mso-wrap-style:none;z-index:251659264;mso-width-relative:page;mso-height-relative:page;" filled="f" stroked="f" coordsize="21600,21600" o:gfxdata="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BmHCtEAAAAEAQAADwAAAAAAAAABACAAAAAiAAAAZHJzL2Rvd25yZXYueG1sUEsB&#10;AhQAFAAAAAgAh07iQAWs+Tj8AQAABAQAAA4AAAAAAAAAAQAgAAAAIAEAAGRycy9lMm9Eb2MueG1s&#10;UEsFBgAAAAAGAAYAWQEAAI4FAAAAAA==&#10;">
              <v:fill on="f" focussize="0,0"/>
              <v:stroke on="f"/>
              <v:imagedata o:title=""/>
              <o:lock v:ext="edit" aspectratio="f"/>
              <v:textbox inset="0mm,0mm,0mm,0mm" style="mso-fit-shape-to-text:t;">
                <w:txbxContent>
                  <w:p>
                    <w:pPr>
                      <w:pStyle w:val="6"/>
                      <w:tabs>
                        <w:tab w:val="center" w:pos="4450"/>
                        <w:tab w:val="left" w:pos="5175"/>
                      </w:tabs>
                      <w:ind w:firstLine="480"/>
                    </w:pPr>
                    <w:r>
                      <w:rPr>
                        <w:rFonts w:hint="eastAsia" w:ascii="宋体" w:hAnsi="宋体" w:eastAsia="宋体"/>
                        <w:sz w:val="24"/>
                        <w:szCs w:val="24"/>
                      </w:rPr>
                      <w:fldChar w:fldCharType="begin"/>
                    </w:r>
                    <w:r>
                      <w:rPr>
                        <w:rFonts w:hint="eastAsia" w:ascii="宋体" w:hAnsi="宋体" w:eastAsia="宋体"/>
                        <w:sz w:val="24"/>
                        <w:szCs w:val="24"/>
                      </w:rPr>
                      <w:instrText xml:space="preserve">PAGE   \* MERGEFORMAT</w:instrText>
                    </w:r>
                    <w:r>
                      <w:rPr>
                        <w:rFonts w:hint="eastAsia" w:ascii="宋体" w:hAnsi="宋体" w:eastAsia="宋体"/>
                        <w:sz w:val="24"/>
                        <w:szCs w:val="24"/>
                      </w:rPr>
                      <w:fldChar w:fldCharType="separate"/>
                    </w:r>
                    <w:r>
                      <w:rPr>
                        <w:rFonts w:ascii="宋体" w:hAnsi="宋体" w:eastAsia="宋体"/>
                        <w:sz w:val="24"/>
                        <w:szCs w:val="24"/>
                        <w:lang w:val="zh-CN"/>
                      </w:rPr>
                      <w:t>-</w:t>
                    </w:r>
                    <w:r>
                      <w:rPr>
                        <w:rFonts w:ascii="宋体" w:hAnsi="宋体" w:eastAsia="宋体"/>
                        <w:sz w:val="24"/>
                        <w:szCs w:val="24"/>
                      </w:rPr>
                      <w:t xml:space="preserve"> 8 -</w:t>
                    </w:r>
                    <w:r>
                      <w:rPr>
                        <w:rFonts w:hint="eastAsia" w:ascii="宋体" w:hAnsi="宋体" w:eastAsia="宋体"/>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ind w:firstLine="36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5AF4AC"/>
    <w:multiLevelType w:val="singleLevel"/>
    <w:tmpl w:val="D55AF4AC"/>
    <w:lvl w:ilvl="0" w:tentative="0">
      <w:start w:val="1"/>
      <w:numFmt w:val="chineseCounting"/>
      <w:suff w:val="nothing"/>
      <w:lvlText w:val="%1、"/>
      <w:lvlJc w:val="left"/>
      <w:pPr>
        <w:ind w:left="64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224"/>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2ZDM2NGVhMWUxYmEwMTQxZTI4MjM5MDk1MzdlYTUifQ=="/>
  </w:docVars>
  <w:rsids>
    <w:rsidRoot w:val="00642A7C"/>
    <w:rsid w:val="000151F9"/>
    <w:rsid w:val="00030E1C"/>
    <w:rsid w:val="00075E1C"/>
    <w:rsid w:val="000A43C8"/>
    <w:rsid w:val="000D217A"/>
    <w:rsid w:val="000E15FA"/>
    <w:rsid w:val="00104153"/>
    <w:rsid w:val="00104AA2"/>
    <w:rsid w:val="00105559"/>
    <w:rsid w:val="00146059"/>
    <w:rsid w:val="00151F1F"/>
    <w:rsid w:val="0019713A"/>
    <w:rsid w:val="001C7ACB"/>
    <w:rsid w:val="001D47B9"/>
    <w:rsid w:val="001E029B"/>
    <w:rsid w:val="00203E65"/>
    <w:rsid w:val="00223347"/>
    <w:rsid w:val="00264564"/>
    <w:rsid w:val="00270541"/>
    <w:rsid w:val="00284B8F"/>
    <w:rsid w:val="002A3ADF"/>
    <w:rsid w:val="002C652E"/>
    <w:rsid w:val="002D7E55"/>
    <w:rsid w:val="002E469C"/>
    <w:rsid w:val="003149C1"/>
    <w:rsid w:val="00356513"/>
    <w:rsid w:val="00363F3C"/>
    <w:rsid w:val="003932D3"/>
    <w:rsid w:val="003A6B45"/>
    <w:rsid w:val="003B1196"/>
    <w:rsid w:val="003C3547"/>
    <w:rsid w:val="00412318"/>
    <w:rsid w:val="00444BC7"/>
    <w:rsid w:val="00450B89"/>
    <w:rsid w:val="00453874"/>
    <w:rsid w:val="0047583C"/>
    <w:rsid w:val="004849C5"/>
    <w:rsid w:val="004A60C9"/>
    <w:rsid w:val="004B3AC0"/>
    <w:rsid w:val="004D17F5"/>
    <w:rsid w:val="004D5048"/>
    <w:rsid w:val="004E0C40"/>
    <w:rsid w:val="0052494C"/>
    <w:rsid w:val="00540EE6"/>
    <w:rsid w:val="005762A0"/>
    <w:rsid w:val="00583ECE"/>
    <w:rsid w:val="005B6168"/>
    <w:rsid w:val="005D13B2"/>
    <w:rsid w:val="00622457"/>
    <w:rsid w:val="006317FC"/>
    <w:rsid w:val="00642A7C"/>
    <w:rsid w:val="00645967"/>
    <w:rsid w:val="00665097"/>
    <w:rsid w:val="006705A1"/>
    <w:rsid w:val="00670B5A"/>
    <w:rsid w:val="0069511B"/>
    <w:rsid w:val="006A1827"/>
    <w:rsid w:val="006C4BAB"/>
    <w:rsid w:val="006C74C5"/>
    <w:rsid w:val="006E3FC9"/>
    <w:rsid w:val="006F5A5B"/>
    <w:rsid w:val="00710F0B"/>
    <w:rsid w:val="00737BDC"/>
    <w:rsid w:val="007425D9"/>
    <w:rsid w:val="00761178"/>
    <w:rsid w:val="007B6535"/>
    <w:rsid w:val="007E150B"/>
    <w:rsid w:val="007F1269"/>
    <w:rsid w:val="007F1D24"/>
    <w:rsid w:val="008045C4"/>
    <w:rsid w:val="008261B5"/>
    <w:rsid w:val="00830C3D"/>
    <w:rsid w:val="00865776"/>
    <w:rsid w:val="0087433B"/>
    <w:rsid w:val="00876E69"/>
    <w:rsid w:val="008816C5"/>
    <w:rsid w:val="008847E1"/>
    <w:rsid w:val="00891179"/>
    <w:rsid w:val="00891CF8"/>
    <w:rsid w:val="00896727"/>
    <w:rsid w:val="008A1BAC"/>
    <w:rsid w:val="00912D8E"/>
    <w:rsid w:val="009D3F88"/>
    <w:rsid w:val="009E3970"/>
    <w:rsid w:val="009E578D"/>
    <w:rsid w:val="009E774F"/>
    <w:rsid w:val="009F5F76"/>
    <w:rsid w:val="00A6752B"/>
    <w:rsid w:val="00A74F62"/>
    <w:rsid w:val="00A766A6"/>
    <w:rsid w:val="00AB6F7E"/>
    <w:rsid w:val="00B40CD4"/>
    <w:rsid w:val="00B53356"/>
    <w:rsid w:val="00B722E6"/>
    <w:rsid w:val="00B832E6"/>
    <w:rsid w:val="00B91D32"/>
    <w:rsid w:val="00BA59E7"/>
    <w:rsid w:val="00BC53D7"/>
    <w:rsid w:val="00BF6388"/>
    <w:rsid w:val="00C2318B"/>
    <w:rsid w:val="00C31096"/>
    <w:rsid w:val="00C418A4"/>
    <w:rsid w:val="00C46426"/>
    <w:rsid w:val="00C50C0B"/>
    <w:rsid w:val="00C60285"/>
    <w:rsid w:val="00C84FD4"/>
    <w:rsid w:val="00CA1C71"/>
    <w:rsid w:val="00CA407F"/>
    <w:rsid w:val="00CC36D4"/>
    <w:rsid w:val="00CD2541"/>
    <w:rsid w:val="00CD6577"/>
    <w:rsid w:val="00CF19E3"/>
    <w:rsid w:val="00D051D2"/>
    <w:rsid w:val="00D121DB"/>
    <w:rsid w:val="00D1713F"/>
    <w:rsid w:val="00D37C7F"/>
    <w:rsid w:val="00D53D5F"/>
    <w:rsid w:val="00D73246"/>
    <w:rsid w:val="00D963CC"/>
    <w:rsid w:val="00DA405E"/>
    <w:rsid w:val="00DA6406"/>
    <w:rsid w:val="00DD01F6"/>
    <w:rsid w:val="00DD57FA"/>
    <w:rsid w:val="00E12E07"/>
    <w:rsid w:val="00E572A7"/>
    <w:rsid w:val="00E61EEC"/>
    <w:rsid w:val="00E70B78"/>
    <w:rsid w:val="00E90012"/>
    <w:rsid w:val="00EC2113"/>
    <w:rsid w:val="00F00459"/>
    <w:rsid w:val="00F10F55"/>
    <w:rsid w:val="00F21DF1"/>
    <w:rsid w:val="00F4763B"/>
    <w:rsid w:val="00F55007"/>
    <w:rsid w:val="00F56539"/>
    <w:rsid w:val="00F66528"/>
    <w:rsid w:val="00F72AE5"/>
    <w:rsid w:val="00F9386F"/>
    <w:rsid w:val="00F97D7F"/>
    <w:rsid w:val="00FA6452"/>
    <w:rsid w:val="00FB0C0E"/>
    <w:rsid w:val="00FB0C8F"/>
    <w:rsid w:val="00FE19BB"/>
    <w:rsid w:val="012A6428"/>
    <w:rsid w:val="02010DCF"/>
    <w:rsid w:val="030B13A5"/>
    <w:rsid w:val="03BE00B7"/>
    <w:rsid w:val="03DD5297"/>
    <w:rsid w:val="043572A3"/>
    <w:rsid w:val="044A02D9"/>
    <w:rsid w:val="052874F9"/>
    <w:rsid w:val="05311B6D"/>
    <w:rsid w:val="055A0E17"/>
    <w:rsid w:val="062F3E18"/>
    <w:rsid w:val="06DE7C97"/>
    <w:rsid w:val="071C740F"/>
    <w:rsid w:val="077821C9"/>
    <w:rsid w:val="077E4493"/>
    <w:rsid w:val="07870E61"/>
    <w:rsid w:val="07A56C8F"/>
    <w:rsid w:val="07E10116"/>
    <w:rsid w:val="07EA3BBE"/>
    <w:rsid w:val="08332D4E"/>
    <w:rsid w:val="089E5FC2"/>
    <w:rsid w:val="09016A0E"/>
    <w:rsid w:val="09116BFD"/>
    <w:rsid w:val="091227C9"/>
    <w:rsid w:val="092E15CB"/>
    <w:rsid w:val="09347658"/>
    <w:rsid w:val="09C7342D"/>
    <w:rsid w:val="0A2B1914"/>
    <w:rsid w:val="0A487485"/>
    <w:rsid w:val="0AD478E6"/>
    <w:rsid w:val="0B436633"/>
    <w:rsid w:val="0B562276"/>
    <w:rsid w:val="0BB344BC"/>
    <w:rsid w:val="0BB76EF0"/>
    <w:rsid w:val="0C4E1FAE"/>
    <w:rsid w:val="0C7E4C48"/>
    <w:rsid w:val="0CAA413B"/>
    <w:rsid w:val="0D2B6F40"/>
    <w:rsid w:val="0DE8683C"/>
    <w:rsid w:val="0E001ABC"/>
    <w:rsid w:val="0E055F2D"/>
    <w:rsid w:val="0E224C37"/>
    <w:rsid w:val="0EE222CB"/>
    <w:rsid w:val="0F172531"/>
    <w:rsid w:val="100E156B"/>
    <w:rsid w:val="101F4EF1"/>
    <w:rsid w:val="108B19DB"/>
    <w:rsid w:val="10FE68D9"/>
    <w:rsid w:val="11161E0E"/>
    <w:rsid w:val="118C1B71"/>
    <w:rsid w:val="11925F3E"/>
    <w:rsid w:val="120F6EE8"/>
    <w:rsid w:val="121F3973"/>
    <w:rsid w:val="12324125"/>
    <w:rsid w:val="13937966"/>
    <w:rsid w:val="13A46812"/>
    <w:rsid w:val="13B670D3"/>
    <w:rsid w:val="149A4A36"/>
    <w:rsid w:val="14A71A37"/>
    <w:rsid w:val="150A2BDD"/>
    <w:rsid w:val="15C506BD"/>
    <w:rsid w:val="15DE6609"/>
    <w:rsid w:val="15FC07E5"/>
    <w:rsid w:val="1647714E"/>
    <w:rsid w:val="165D62D1"/>
    <w:rsid w:val="170C7D82"/>
    <w:rsid w:val="172B19C2"/>
    <w:rsid w:val="176E22F2"/>
    <w:rsid w:val="17C45EA6"/>
    <w:rsid w:val="183646EB"/>
    <w:rsid w:val="18BC4344"/>
    <w:rsid w:val="18C56262"/>
    <w:rsid w:val="18EA6CFD"/>
    <w:rsid w:val="19250951"/>
    <w:rsid w:val="19667CD7"/>
    <w:rsid w:val="198F20A2"/>
    <w:rsid w:val="1A4C0AD5"/>
    <w:rsid w:val="1AA05249"/>
    <w:rsid w:val="1ACC6631"/>
    <w:rsid w:val="1B1338E2"/>
    <w:rsid w:val="1B2B045D"/>
    <w:rsid w:val="1BAB6DC1"/>
    <w:rsid w:val="1BE56B71"/>
    <w:rsid w:val="1CA7150A"/>
    <w:rsid w:val="1DC4160E"/>
    <w:rsid w:val="1E22047E"/>
    <w:rsid w:val="1F603D1D"/>
    <w:rsid w:val="1F754097"/>
    <w:rsid w:val="1FB8265B"/>
    <w:rsid w:val="209C0178"/>
    <w:rsid w:val="20A016AE"/>
    <w:rsid w:val="212D0721"/>
    <w:rsid w:val="214D7CAE"/>
    <w:rsid w:val="21B03C5D"/>
    <w:rsid w:val="21DA38A6"/>
    <w:rsid w:val="22B95457"/>
    <w:rsid w:val="23096ADA"/>
    <w:rsid w:val="23EF7D68"/>
    <w:rsid w:val="24575362"/>
    <w:rsid w:val="247F26B5"/>
    <w:rsid w:val="24906400"/>
    <w:rsid w:val="25533E32"/>
    <w:rsid w:val="258C42FC"/>
    <w:rsid w:val="25B5779A"/>
    <w:rsid w:val="25E121D3"/>
    <w:rsid w:val="263115CE"/>
    <w:rsid w:val="26430B88"/>
    <w:rsid w:val="264E63E0"/>
    <w:rsid w:val="27072115"/>
    <w:rsid w:val="27164AA8"/>
    <w:rsid w:val="2722071A"/>
    <w:rsid w:val="27DC0E4A"/>
    <w:rsid w:val="27EE71A3"/>
    <w:rsid w:val="27FD19D6"/>
    <w:rsid w:val="280F77FA"/>
    <w:rsid w:val="288F6121"/>
    <w:rsid w:val="291E2944"/>
    <w:rsid w:val="292F7096"/>
    <w:rsid w:val="2B645DE3"/>
    <w:rsid w:val="2B6C5A26"/>
    <w:rsid w:val="2B7F5812"/>
    <w:rsid w:val="2B974A6A"/>
    <w:rsid w:val="2BA60CE9"/>
    <w:rsid w:val="2BF1079D"/>
    <w:rsid w:val="2CB411E6"/>
    <w:rsid w:val="2E1C69A0"/>
    <w:rsid w:val="2E75027D"/>
    <w:rsid w:val="2EBC092F"/>
    <w:rsid w:val="2FC16FCD"/>
    <w:rsid w:val="300D72D1"/>
    <w:rsid w:val="30186DAA"/>
    <w:rsid w:val="306F7BD4"/>
    <w:rsid w:val="30913EB3"/>
    <w:rsid w:val="319A3D28"/>
    <w:rsid w:val="31D21531"/>
    <w:rsid w:val="32267734"/>
    <w:rsid w:val="32AE2235"/>
    <w:rsid w:val="32DC3DB5"/>
    <w:rsid w:val="32FA1E76"/>
    <w:rsid w:val="33622832"/>
    <w:rsid w:val="33911C97"/>
    <w:rsid w:val="3396437B"/>
    <w:rsid w:val="339A1CEB"/>
    <w:rsid w:val="33B715BB"/>
    <w:rsid w:val="33D36EE9"/>
    <w:rsid w:val="349748B1"/>
    <w:rsid w:val="34F7159A"/>
    <w:rsid w:val="36AC4256"/>
    <w:rsid w:val="384B2A77"/>
    <w:rsid w:val="39134602"/>
    <w:rsid w:val="39325312"/>
    <w:rsid w:val="396F304F"/>
    <w:rsid w:val="3A612536"/>
    <w:rsid w:val="3A7D2FEE"/>
    <w:rsid w:val="3AB75732"/>
    <w:rsid w:val="3AD44AE4"/>
    <w:rsid w:val="3ADF30C7"/>
    <w:rsid w:val="3AFD6AFD"/>
    <w:rsid w:val="3B253D86"/>
    <w:rsid w:val="3B6D5C77"/>
    <w:rsid w:val="3BF95916"/>
    <w:rsid w:val="3C337626"/>
    <w:rsid w:val="3C632939"/>
    <w:rsid w:val="3C8E3C89"/>
    <w:rsid w:val="3DD235DF"/>
    <w:rsid w:val="3DDA6369"/>
    <w:rsid w:val="3E1247C6"/>
    <w:rsid w:val="3E7E21A1"/>
    <w:rsid w:val="3E8D72EA"/>
    <w:rsid w:val="3F7D6E1B"/>
    <w:rsid w:val="402B69B4"/>
    <w:rsid w:val="407B32E5"/>
    <w:rsid w:val="413827B2"/>
    <w:rsid w:val="41AB61A9"/>
    <w:rsid w:val="41AE5219"/>
    <w:rsid w:val="41BC63E1"/>
    <w:rsid w:val="42487ABE"/>
    <w:rsid w:val="42D911DC"/>
    <w:rsid w:val="43347344"/>
    <w:rsid w:val="43622722"/>
    <w:rsid w:val="43B779EA"/>
    <w:rsid w:val="43E806F1"/>
    <w:rsid w:val="443659A6"/>
    <w:rsid w:val="44B43E2C"/>
    <w:rsid w:val="45B7398E"/>
    <w:rsid w:val="46935DDA"/>
    <w:rsid w:val="46936963"/>
    <w:rsid w:val="46A3655F"/>
    <w:rsid w:val="46AA1F4B"/>
    <w:rsid w:val="46AB13B4"/>
    <w:rsid w:val="47B116A4"/>
    <w:rsid w:val="47C46D91"/>
    <w:rsid w:val="47E87909"/>
    <w:rsid w:val="47FF3BC9"/>
    <w:rsid w:val="48483E29"/>
    <w:rsid w:val="48570C68"/>
    <w:rsid w:val="497679D8"/>
    <w:rsid w:val="49A802CC"/>
    <w:rsid w:val="4A52494B"/>
    <w:rsid w:val="4B044BCD"/>
    <w:rsid w:val="4B0840D4"/>
    <w:rsid w:val="4BB345F1"/>
    <w:rsid w:val="4BC13A9A"/>
    <w:rsid w:val="4C9E2BF4"/>
    <w:rsid w:val="4CBE669E"/>
    <w:rsid w:val="4DB14763"/>
    <w:rsid w:val="4DD33B5F"/>
    <w:rsid w:val="4DEA6EC3"/>
    <w:rsid w:val="4E245DD8"/>
    <w:rsid w:val="4F3700B8"/>
    <w:rsid w:val="4FD21574"/>
    <w:rsid w:val="500A2923"/>
    <w:rsid w:val="507C7E55"/>
    <w:rsid w:val="50BA69F5"/>
    <w:rsid w:val="51290754"/>
    <w:rsid w:val="51CF1D59"/>
    <w:rsid w:val="51E22CE4"/>
    <w:rsid w:val="5331331C"/>
    <w:rsid w:val="53E82643"/>
    <w:rsid w:val="54285592"/>
    <w:rsid w:val="548D1096"/>
    <w:rsid w:val="553509DB"/>
    <w:rsid w:val="554A7611"/>
    <w:rsid w:val="554E12DE"/>
    <w:rsid w:val="5568138D"/>
    <w:rsid w:val="55684BDA"/>
    <w:rsid w:val="557D0711"/>
    <w:rsid w:val="55BF087C"/>
    <w:rsid w:val="578B3A94"/>
    <w:rsid w:val="582F662E"/>
    <w:rsid w:val="583808A8"/>
    <w:rsid w:val="5856416D"/>
    <w:rsid w:val="587F51E8"/>
    <w:rsid w:val="58AA69E2"/>
    <w:rsid w:val="58EC0E49"/>
    <w:rsid w:val="5908311D"/>
    <w:rsid w:val="59695371"/>
    <w:rsid w:val="59FF1C45"/>
    <w:rsid w:val="5A665911"/>
    <w:rsid w:val="5A697D04"/>
    <w:rsid w:val="5AD9342A"/>
    <w:rsid w:val="5AF43B7C"/>
    <w:rsid w:val="5B1D519C"/>
    <w:rsid w:val="5B7629BA"/>
    <w:rsid w:val="5B8A46AD"/>
    <w:rsid w:val="5BAE1CD2"/>
    <w:rsid w:val="5BEB101E"/>
    <w:rsid w:val="5C357248"/>
    <w:rsid w:val="5CA17BF7"/>
    <w:rsid w:val="5CC403F9"/>
    <w:rsid w:val="5D5A6C06"/>
    <w:rsid w:val="5DD05A5B"/>
    <w:rsid w:val="5EAF14DC"/>
    <w:rsid w:val="5F4B22A5"/>
    <w:rsid w:val="5FAD1C43"/>
    <w:rsid w:val="60B86783"/>
    <w:rsid w:val="6169595B"/>
    <w:rsid w:val="61850065"/>
    <w:rsid w:val="62364342"/>
    <w:rsid w:val="626D2D28"/>
    <w:rsid w:val="627575B4"/>
    <w:rsid w:val="62A9615C"/>
    <w:rsid w:val="65F41DB1"/>
    <w:rsid w:val="66874339"/>
    <w:rsid w:val="66BC2D97"/>
    <w:rsid w:val="66C805C0"/>
    <w:rsid w:val="66EC4CBB"/>
    <w:rsid w:val="67807634"/>
    <w:rsid w:val="67EC15F4"/>
    <w:rsid w:val="68942FCE"/>
    <w:rsid w:val="693E7873"/>
    <w:rsid w:val="69DF5A12"/>
    <w:rsid w:val="69E22F05"/>
    <w:rsid w:val="6A11272E"/>
    <w:rsid w:val="6A6A24C3"/>
    <w:rsid w:val="6ACB18E6"/>
    <w:rsid w:val="6ADB7718"/>
    <w:rsid w:val="6B4907DF"/>
    <w:rsid w:val="6C6502FE"/>
    <w:rsid w:val="6C9132F5"/>
    <w:rsid w:val="6CC439E8"/>
    <w:rsid w:val="6CF613AC"/>
    <w:rsid w:val="6D07511D"/>
    <w:rsid w:val="6D1B0310"/>
    <w:rsid w:val="6D230B07"/>
    <w:rsid w:val="6D6C3CD7"/>
    <w:rsid w:val="6F447480"/>
    <w:rsid w:val="6F682410"/>
    <w:rsid w:val="6FDC1CCD"/>
    <w:rsid w:val="70050FA8"/>
    <w:rsid w:val="703166D0"/>
    <w:rsid w:val="70C0454C"/>
    <w:rsid w:val="70C60C71"/>
    <w:rsid w:val="70F8357A"/>
    <w:rsid w:val="710C0D50"/>
    <w:rsid w:val="720442C8"/>
    <w:rsid w:val="727147C2"/>
    <w:rsid w:val="729B2FF9"/>
    <w:rsid w:val="733925DA"/>
    <w:rsid w:val="74691A51"/>
    <w:rsid w:val="75327EA0"/>
    <w:rsid w:val="759C3F44"/>
    <w:rsid w:val="75B1355A"/>
    <w:rsid w:val="76CB43FD"/>
    <w:rsid w:val="772E09A4"/>
    <w:rsid w:val="77A34E1E"/>
    <w:rsid w:val="781247FA"/>
    <w:rsid w:val="787A787D"/>
    <w:rsid w:val="790A1FFB"/>
    <w:rsid w:val="7920019E"/>
    <w:rsid w:val="7945593F"/>
    <w:rsid w:val="79A27DC3"/>
    <w:rsid w:val="7A1249A8"/>
    <w:rsid w:val="7A706148"/>
    <w:rsid w:val="7AAC7F4E"/>
    <w:rsid w:val="7ABF36B0"/>
    <w:rsid w:val="7B7008B8"/>
    <w:rsid w:val="7C842740"/>
    <w:rsid w:val="7CC83496"/>
    <w:rsid w:val="7CD237B5"/>
    <w:rsid w:val="7D161C43"/>
    <w:rsid w:val="7D2916D3"/>
    <w:rsid w:val="7DB05B4F"/>
    <w:rsid w:val="7DEC4D50"/>
    <w:rsid w:val="7F1A45A6"/>
    <w:rsid w:val="7FE2585A"/>
    <w:rsid w:val="7FE36E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560" w:lineRule="exact"/>
      <w:ind w:firstLine="200" w:firstLineChars="200"/>
      <w:jc w:val="both"/>
    </w:pPr>
    <w:rPr>
      <w:rFonts w:ascii="Calibri" w:hAnsi="Calibri" w:eastAsia="仿宋_GB2312" w:cs="宋体"/>
      <w:snapToGrid w:val="0"/>
      <w:sz w:val="32"/>
      <w:szCs w:val="22"/>
      <w:lang w:val="en-US" w:eastAsia="zh-CN" w:bidi="ar-SA"/>
    </w:rPr>
  </w:style>
  <w:style w:type="paragraph" w:styleId="3">
    <w:name w:val="heading 1"/>
    <w:basedOn w:val="1"/>
    <w:next w:val="1"/>
    <w:qFormat/>
    <w:uiPriority w:val="0"/>
    <w:pPr>
      <w:spacing w:line="700" w:lineRule="exact"/>
      <w:ind w:firstLine="0" w:firstLineChars="0"/>
      <w:jc w:val="center"/>
      <w:outlineLvl w:val="0"/>
    </w:pPr>
    <w:rPr>
      <w:rFonts w:ascii="Times New Roman" w:hAnsi="Times New Roman" w:eastAsia="方正小标宋简体" w:cs="Times New Roman"/>
      <w:bCs/>
      <w:kern w:val="44"/>
      <w:sz w:val="44"/>
      <w:szCs w:val="44"/>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2">
    <w:name w:val="table of figures"/>
    <w:basedOn w:val="1"/>
    <w:next w:val="1"/>
    <w:qFormat/>
    <w:uiPriority w:val="0"/>
    <w:pPr>
      <w:ind w:left="200" w:leftChars="200" w:hanging="200" w:hangingChars="200"/>
    </w:pPr>
    <w:rPr>
      <w:rFonts w:ascii="Calibri" w:hAnsi="Calibri" w:eastAsia="宋体" w:cs="Times New Roman"/>
    </w:rPr>
  </w:style>
  <w:style w:type="paragraph" w:styleId="4">
    <w:name w:val="Body Text"/>
    <w:basedOn w:val="1"/>
    <w:next w:val="1"/>
    <w:qFormat/>
    <w:uiPriority w:val="1"/>
    <w:pPr>
      <w:spacing w:line="800" w:lineRule="exact"/>
    </w:pPr>
    <w:rPr>
      <w:rFonts w:ascii="Times New Roman" w:hAnsi="Times New Roman" w:cs="Times New Roman"/>
      <w:sz w:val="24"/>
      <w:szCs w:val="24"/>
    </w:rPr>
  </w:style>
  <w:style w:type="paragraph" w:styleId="5">
    <w:name w:val="Balloon Text"/>
    <w:basedOn w:val="1"/>
    <w:link w:val="16"/>
    <w:qFormat/>
    <w:uiPriority w:val="0"/>
    <w:pPr>
      <w:spacing w:line="240" w:lineRule="auto"/>
    </w:pPr>
    <w:rPr>
      <w:sz w:val="18"/>
      <w:szCs w:val="18"/>
    </w:rPr>
  </w:style>
  <w:style w:type="paragraph" w:styleId="6">
    <w:name w:val="footer"/>
    <w:basedOn w:val="1"/>
    <w:qFormat/>
    <w:uiPriority w:val="99"/>
    <w:pPr>
      <w:tabs>
        <w:tab w:val="center" w:pos="4153"/>
        <w:tab w:val="right" w:pos="8306"/>
      </w:tabs>
      <w:jc w:val="left"/>
    </w:pPr>
    <w:rPr>
      <w:sz w:val="18"/>
      <w:szCs w:val="18"/>
    </w:rPr>
  </w:style>
  <w:style w:type="paragraph" w:styleId="7">
    <w:name w:val="header"/>
    <w:basedOn w:val="1"/>
    <w:qFormat/>
    <w:uiPriority w:val="99"/>
    <w:pPr>
      <w:pBdr>
        <w:bottom w:val="single" w:color="auto" w:sz="6" w:space="1"/>
      </w:pBdr>
      <w:tabs>
        <w:tab w:val="center" w:pos="4153"/>
        <w:tab w:val="right" w:pos="8306"/>
      </w:tabs>
      <w:jc w:val="center"/>
    </w:pPr>
    <w:rPr>
      <w:sz w:val="18"/>
      <w:szCs w:val="18"/>
    </w:rPr>
  </w:style>
  <w:style w:type="paragraph" w:styleId="8">
    <w:name w:val="Subtitle"/>
    <w:basedOn w:val="1"/>
    <w:next w:val="1"/>
    <w:qFormat/>
    <w:uiPriority w:val="11"/>
    <w:pPr>
      <w:spacing w:line="300" w:lineRule="exact"/>
      <w:ind w:firstLine="0" w:firstLineChars="0"/>
      <w:outlineLvl w:val="5"/>
    </w:pPr>
    <w:rPr>
      <w:rFonts w:eastAsia="宋体" w:asciiTheme="majorHAnsi" w:hAnsiTheme="majorHAnsi" w:cstheme="majorBidi"/>
      <w:bCs/>
      <w:sz w:val="21"/>
      <w:szCs w:val="32"/>
    </w:rPr>
  </w:style>
  <w:style w:type="paragraph" w:styleId="9">
    <w:name w:val="Title"/>
    <w:basedOn w:val="1"/>
    <w:next w:val="1"/>
    <w:qFormat/>
    <w:uiPriority w:val="0"/>
    <w:pPr>
      <w:spacing w:line="700" w:lineRule="exact"/>
      <w:jc w:val="center"/>
      <w:outlineLvl w:val="0"/>
    </w:pPr>
    <w:rPr>
      <w:rFonts w:ascii="Cambria" w:hAnsi="Cambria" w:eastAsia="方正小标宋简体"/>
      <w:bCs/>
      <w:sz w:val="44"/>
      <w:szCs w:val="32"/>
    </w:rPr>
  </w:style>
  <w:style w:type="paragraph" w:styleId="10">
    <w:name w:val="Body Text First Indent"/>
    <w:basedOn w:val="4"/>
    <w:qFormat/>
    <w:uiPriority w:val="0"/>
    <w:pPr>
      <w:spacing w:after="120"/>
      <w:ind w:firstLine="420" w:firstLineChars="100"/>
    </w:pPr>
    <w:rPr>
      <w:rFonts w:eastAsia="宋体"/>
    </w:rPr>
  </w:style>
  <w:style w:type="paragraph" w:customStyle="1" w:styleId="13">
    <w:name w:val="1方案标题"/>
    <w:basedOn w:val="1"/>
    <w:qFormat/>
    <w:uiPriority w:val="0"/>
    <w:pPr>
      <w:spacing w:beforeLines="50" w:afterLines="50" w:line="276" w:lineRule="auto"/>
      <w:jc w:val="center"/>
    </w:pPr>
    <w:rPr>
      <w:rFonts w:ascii="黑体" w:hAnsi="Times New Roman" w:eastAsia="黑体" w:cs="Times New Roman"/>
      <w:b/>
      <w:bCs/>
      <w:sz w:val="36"/>
      <w:szCs w:val="36"/>
    </w:rPr>
  </w:style>
  <w:style w:type="paragraph" w:customStyle="1" w:styleId="14">
    <w:name w:val="4一级标题"/>
    <w:basedOn w:val="1"/>
    <w:qFormat/>
    <w:uiPriority w:val="0"/>
    <w:pPr>
      <w:jc w:val="left"/>
    </w:pPr>
    <w:rPr>
      <w:rFonts w:ascii="宋体" w:hAnsi="宋体" w:eastAsia="黑体" w:cs="Times New Roman"/>
      <w:b/>
      <w:sz w:val="28"/>
      <w:szCs w:val="28"/>
    </w:rPr>
  </w:style>
  <w:style w:type="paragraph" w:customStyle="1" w:styleId="15">
    <w:name w:val="6正文"/>
    <w:basedOn w:val="1"/>
    <w:qFormat/>
    <w:uiPriority w:val="0"/>
    <w:pPr>
      <w:jc w:val="left"/>
    </w:pPr>
    <w:rPr>
      <w:rFonts w:ascii="宋体" w:hAnsi="宋体" w:cs="Times New Roman"/>
      <w:sz w:val="24"/>
      <w:szCs w:val="24"/>
    </w:rPr>
  </w:style>
  <w:style w:type="character" w:customStyle="1" w:styleId="16">
    <w:name w:val="批注框文本 字符"/>
    <w:basedOn w:val="12"/>
    <w:link w:val="5"/>
    <w:qFormat/>
    <w:uiPriority w:val="0"/>
    <w:rPr>
      <w:rFonts w:eastAsia="仿宋_GB2312" w:cs="宋体"/>
      <w:snapToGrid w:val="0"/>
      <w:sz w:val="18"/>
      <w:szCs w:val="18"/>
    </w:rPr>
  </w:style>
  <w:style w:type="character" w:customStyle="1" w:styleId="17">
    <w:name w:val="NormalCharacter"/>
    <w:qFormat/>
    <w:uiPriority w:val="0"/>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Pages>
  <Words>440</Words>
  <Characters>2512</Characters>
  <Lines>20</Lines>
  <Paragraphs>5</Paragraphs>
  <TotalTime>0</TotalTime>
  <ScaleCrop>false</ScaleCrop>
  <LinksUpToDate>false</LinksUpToDate>
  <CharactersWithSpaces>2947</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2022-07-21T10:23:00Z</dcterms:created>
  <dc:creator>Administrator</dc:creator>
  <cp:lastModifiedBy>游云惊龙</cp:lastModifiedBy>
  <cp:lastPrinted>2023-08-10T06:49:00Z</cp:lastPrinted>
  <dcterms:modified xsi:type="dcterms:W3CDTF">2023-10-11T02:17:32Z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26CBE349FEB540FF8E40ED95D96DF86A</vt:lpwstr>
  </property>
</Properties>
</file>