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/>
          <w:lang w:eastAsia="zh-CN"/>
        </w:rPr>
        <w:t>山东省交通运输厅</w:t>
      </w:r>
    </w:p>
    <w:p>
      <w:pPr>
        <w:pStyle w:val="3"/>
        <w:widowControl/>
        <w:shd w:val="clear"/>
        <w:spacing w:beforeAutospacing="0" w:afterAutospacing="0"/>
        <w:jc w:val="center"/>
        <w:rPr>
          <w:rFonts w:ascii="宋体" w:hAnsi="宋体" w:eastAsia="宋体" w:cs="宋体"/>
          <w:color w:val="333333"/>
          <w:shd w:val="cle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/>
        </w:rPr>
        <w:t>政府信息公开工作年度报告</w:t>
      </w:r>
    </w:p>
    <w:p>
      <w:pPr>
        <w:pStyle w:val="3"/>
        <w:widowControl/>
        <w:shd w:val="clear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  <w:shd w:val="clear"/>
        </w:rPr>
      </w:pPr>
    </w:p>
    <w:p>
      <w:pPr>
        <w:pStyle w:val="3"/>
        <w:widowControl/>
        <w:shd w:val="clear"/>
        <w:spacing w:beforeAutospacing="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  <w:shd w:val="clear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交通运输厅认真贯彻落实省委、省政府政务公开工作部署要求，围绕强化机制保障、创新政策解读、扩大互动交流，不断加大公开力度、拓宽公开渠道、务求公开时效、提高公开水平，让群众看得到、听得懂、可互动、能监督，全面提升政府工作透明度和公信力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shd w:val="clear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/>
          <w:lang w:eastAsia="zh-CN"/>
        </w:rPr>
        <w:t>（一）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/>
        </w:rPr>
        <w:t>围绕机制保障强化公开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/>
          <w:lang w:eastAsia="zh-CN"/>
        </w:rPr>
        <w:t>，全面加强政务公开能力建设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shd w:val="clear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/>
          <w:lang w:val="en-US" w:eastAsia="zh-CN"/>
        </w:rPr>
        <w:t>一是健全工作机制。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调整政务公开工作领导小组，由厅长任组长，领导小组下设办公室，统筹协调落实领导小组有关工作部署，定期不定期开展监督检查，进一步理顺政务公开工作机制。</w:t>
      </w:r>
      <w:r>
        <w:rPr>
          <w:rFonts w:hint="eastAsia" w:ascii="楷体_GB2312" w:hAnsi="楷体_GB2312" w:eastAsia="楷体_GB2312" w:cs="楷体_GB2312"/>
          <w:sz w:val="32"/>
          <w:szCs w:val="32"/>
          <w:shd w:val="clear"/>
          <w:lang w:val="en-US" w:eastAsia="zh-CN"/>
        </w:rPr>
        <w:t>二是完善工作制度。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《关于进一步规范机关办文办事办会程序切实提高工作效率的通知》，将“五公开”纳入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办文办会办事程序，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明确要求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重大事项预公开、厅长办公会议题提报和公开等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决策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公开事项的具体要求和操作流程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2020年山东省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交通运输厅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政务公开工作要点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《山东省交通运输厅主动公开基本目录》，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确定9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类、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项主动公开事项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责任单位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出台《省级交通运输政务服务监督事项办理办法》，规范省级交通运输政务服务咨询、建议、投诉、举报等监督事项。</w:t>
      </w:r>
      <w:r>
        <w:rPr>
          <w:rFonts w:hint="eastAsia" w:ascii="楷体_GB2312" w:hAnsi="楷体_GB2312" w:eastAsia="楷体_GB2312" w:cs="楷体_GB2312"/>
          <w:sz w:val="32"/>
          <w:szCs w:val="32"/>
          <w:shd w:val="clear"/>
          <w:lang w:val="en-US" w:eastAsia="zh-CN"/>
        </w:rPr>
        <w:t>三是规范政策性文件管理。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为进一步规范政策性文件管理，印发《关于新增“鲁交发”文号并做好政策性文件主动公开和解读工作的通知》，专门设置“鲁交发”文号，用于政策性文件制发，并对政策性文件的公开和解读提出明确要求。</w:t>
      </w:r>
      <w:r>
        <w:rPr>
          <w:rFonts w:hint="eastAsia" w:ascii="楷体_GB2312" w:hAnsi="楷体_GB2312" w:eastAsia="楷体_GB2312" w:cs="楷体_GB2312"/>
          <w:sz w:val="32"/>
          <w:szCs w:val="32"/>
          <w:shd w:val="clear"/>
          <w:lang w:val="en-US" w:eastAsia="zh-CN"/>
        </w:rPr>
        <w:t>四是强化工作考核。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将政务公开工作纳入厅机关年度绩效考核范围，制定详细考核指标，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对重大决策预公开、会议公开、文件公开、重点领域公开、依申请公开和行政复议诉讼等6项公开工作进行考核，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年终考核和平时考核同步推进。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shd w:val="clear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/>
          <w:lang w:eastAsia="zh-CN"/>
        </w:rPr>
        <w:t>（二）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/>
        </w:rPr>
        <w:t>围绕政策解读创新公开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/>
          <w:lang w:eastAsia="zh-CN"/>
        </w:rPr>
        <w:t>，强化政策发布解读时效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/>
          <w:lang w:eastAsia="zh-CN"/>
        </w:rPr>
        <w:t>一是厅领导带头宣讲政策。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围绕各阶段交通重点工作，定期举办新闻发布会，厅领导共参加省政府新闻发布会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16次，其中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厅长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参加4次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发布疫情期间全省交通运输保障工作、统筹推进疫情防控和重点项目建设、全省智慧交通建设况、高速公路限速管理排查整治等情况，回应关切、解读方案。此外，央视《新闻联播》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次，《朝闻天下》《晚间新闻》等栏目10余次报道山东交通运输工作，山东卫视《新闻联播》《晚间新闻》等栏目60多次报道交通运输工作；中央和省内主流媒体刊发、转发稿件500余篇；《大众日报》头版刊发稿件30篇，其他版面刊发稿件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50余篇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；《中国交通报》刊发我省稿件80余篇，其中头版30余篇，头条3篇。</w:t>
      </w:r>
      <w:r>
        <w:rPr>
          <w:rFonts w:hint="eastAsia" w:ascii="楷体_GB2312" w:hAnsi="楷体_GB2312" w:eastAsia="楷体_GB2312" w:cs="楷体_GB2312"/>
          <w:sz w:val="32"/>
          <w:szCs w:val="32"/>
          <w:shd w:val="clear"/>
          <w:lang w:val="en-US" w:eastAsia="zh-CN"/>
        </w:rPr>
        <w:t>二是创新形式解读政策。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落实政策性文件与解读材料同步组织、同步部署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的要求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，在厅门户网站开设政策解读专栏，深度解读政策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内容。开发制作政策解读卡通形象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“通哥”，开设“通哥解读”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“通哥说新闻”栏目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图片、动画、视频、电子书等形式，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对政策性文件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和公开年报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“一图读懂”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图文并茂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式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解读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创新拓展解读形式，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今年印发的11个政策性文件配发了“通哥解读”，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看得明白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用着方便。</w:t>
      </w:r>
      <w:r>
        <w:rPr>
          <w:rFonts w:hint="eastAsia" w:ascii="楷体_GB2312" w:hAnsi="楷体_GB2312" w:eastAsia="楷体_GB2312" w:cs="楷体_GB2312"/>
          <w:sz w:val="32"/>
          <w:szCs w:val="32"/>
          <w:shd w:val="clear"/>
          <w:lang w:eastAsia="zh-CN"/>
        </w:rPr>
        <w:t>三是疫情期间创新服务举措。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门户网站开设疫情防控专栏，第一时间公开疫情期间交通运输领域各项政策，公布应急物资及人员运输车辆通行证样式，自行打印、随车携带，简化办理流程；应急物资运输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24小时值班电话，快速高效受理应急物资运输车辆通行、办证、咨询等相关问题。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/>
          <w:lang w:val="en-US" w:eastAsia="zh-CN"/>
        </w:rPr>
        <w:t>（三）围绕互动交流扩大公开，提升政务服务水平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/>
          <w:lang w:val="en-US" w:eastAsia="zh-CN"/>
        </w:rPr>
        <w:t>一是落实重大决策预公开。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门户网站开设调查征集栏目，就涉及群众切身利益的重大政策措施、重点工程项目等，除依法保密外，广泛征求公众意见，并公布意见采纳情况，今年网上公开征求意见13次；厅长办公会研究重大决策事项，邀请专家学者、利益相关方等参会并充分发表意见建议。</w:t>
      </w:r>
      <w:r>
        <w:rPr>
          <w:rFonts w:hint="eastAsia" w:ascii="楷体_GB2312" w:hAnsi="楷体_GB2312" w:eastAsia="楷体_GB2312" w:cs="楷体_GB2312"/>
          <w:sz w:val="32"/>
          <w:szCs w:val="32"/>
          <w:shd w:val="clear"/>
          <w:lang w:val="en-US" w:eastAsia="zh-CN"/>
        </w:rPr>
        <w:t>二是搭建交通运输政务公开网上服务平台。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依托“三系统一网两平台”即：信用交通·山东、交通建设市场监管服务系统、道路运输综合查询三大系统，山东交通出行服务网，省级交通运输政务服务监督平台和山东政务服务平台，为群众提供道路出行、信用评价、建设市场、道路运政等交通运输领域信息咨询查询服务，畅通政务服务投诉举报绿色通道。今年以来，山东交通出行网发布全省高速公路路况信息98846条，出行提示信息355条。75项依申请办理的政务服务事项已迁移至山东政务服务平台，实现了权责清单、办事指南、办理流程、服务收费全面动态公开，其中73项已实现在线申报，最大限度实现网络化、透明化办事服务。</w:t>
      </w:r>
      <w:r>
        <w:rPr>
          <w:rFonts w:hint="eastAsia" w:ascii="楷体_GB2312" w:hAnsi="楷体_GB2312" w:eastAsia="楷体_GB2312" w:cs="楷体_GB2312"/>
          <w:sz w:val="32"/>
          <w:szCs w:val="32"/>
          <w:shd w:val="clear"/>
          <w:lang w:val="en-US" w:eastAsia="zh-CN"/>
        </w:rPr>
        <w:t>三是完善互动交流平台。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不断完善厅长信箱、建议咨询、投诉举报等互动交流栏目，优化交通运输服务热线12328。疫情期间，交通运输服务热线和各应急电话日均接听2000余个，及时解读防疫物资运输、高速公路通行、农民工返程包车等政策、热点问题。截至目前，省级12328交通运输政务服务热线呼叫中心共受理各类来电30万余件件，办理12345省级政务热线转办件4万余件。</w:t>
      </w:r>
      <w:r>
        <w:rPr>
          <w:rFonts w:hint="eastAsia" w:ascii="楷体_GB2312" w:hAnsi="楷体_GB2312" w:eastAsia="楷体_GB2312" w:cs="楷体_GB2312"/>
          <w:sz w:val="32"/>
          <w:szCs w:val="32"/>
          <w:shd w:val="clear"/>
          <w:lang w:val="en-US" w:eastAsia="zh-CN"/>
        </w:rPr>
        <w:t>四是依法办理政府信息公开申请。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认真贯彻落实新《条例》要求，全部实现内网OA网上运转，办理效率和答复规范性大幅提升。同时，加强沟通解释、指导说明，确保申请人及时获取所需政府信息。全年共受理政府信息公开申请78件，全部按时办结。</w:t>
      </w:r>
    </w:p>
    <w:p>
      <w:pPr>
        <w:pStyle w:val="3"/>
        <w:widowControl/>
        <w:shd w:val="clear"/>
        <w:spacing w:beforeAutospacing="0" w:after="24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  <w:shd w:val="clear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/>
        </w:rPr>
        <w:t>二、主动公开政府信息情况</w:t>
      </w:r>
    </w:p>
    <w:tbl>
      <w:tblPr>
        <w:tblStyle w:val="5"/>
        <w:tblW w:w="8708" w:type="dxa"/>
        <w:jc w:val="center"/>
        <w:tblInd w:w="0" w:type="dxa"/>
        <w:shd w:val="clear" w:color="auto" w:fill="C7EDCC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C7EDCC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对外公开</w:t>
            </w:r>
          </w:p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  <w:t>　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  <w:t>　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  <w:t>　　7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  <w:t> 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  <w:t>　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  <w:t>60748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  <w:t>　71059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  <w:t>　131807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  <w:t>　11402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  <w:t>　59384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 w:bidi="ar"/>
              </w:rPr>
              <w:t>　70786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  <w:t>2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  <w:t>199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</w:rPr>
              <w:t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/>
                <w:lang w:val="en-US" w:eastAsia="zh-CN"/>
              </w:rPr>
              <w:t>6633万元</w:t>
            </w:r>
          </w:p>
        </w:tc>
      </w:tr>
    </w:tbl>
    <w:p>
      <w:pPr>
        <w:pStyle w:val="3"/>
        <w:widowControl/>
        <w:shd w:val="clear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  <w:shd w:val="clear"/>
        </w:rPr>
      </w:pPr>
    </w:p>
    <w:p>
      <w:pPr>
        <w:pStyle w:val="3"/>
        <w:widowControl/>
        <w:shd w:val="clear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color w:val="333333"/>
          <w:sz w:val="32"/>
          <w:szCs w:val="32"/>
          <w:shd w:val="clear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/>
        </w:rPr>
        <w:t>三、收到和处理政府信息公开申请情况</w:t>
      </w:r>
    </w:p>
    <w:tbl>
      <w:tblPr>
        <w:tblStyle w:val="5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（本列数据的勾稽关系为：第一项加第二项之和，</w:t>
            </w:r>
          </w:p>
          <w:p>
            <w:pPr>
              <w:widowControl/>
              <w:shd w:val="clear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20" w:lineRule="exact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20" w:lineRule="exact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20" w:lineRule="exact"/>
              <w:ind w:left="-106" w:leftChars="-51" w:right="-107" w:rightChars="-51" w:hanging="1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20" w:lineRule="exact"/>
              <w:ind w:left="-107" w:leftChars="-51" w:right="-107" w:rightChars="-51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20" w:lineRule="exact"/>
              <w:ind w:left="-107" w:leftChars="-51" w:right="-107" w:rightChars="-51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20" w:lineRule="exact"/>
              <w:ind w:left="-106" w:leftChars="-51" w:right="-107" w:rightChars="-51" w:hanging="1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exact"/>
              <w:ind w:left="-63" w:leftChars="-30" w:right="-134" w:rightChars="-64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ascii="宋体"/>
                <w:sz w:val="24"/>
                <w:shd w:val="cle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77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rPr>
                <w:shd w:val="clear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rPr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ind w:left="-107" w:leftChars="-51"/>
              <w:rPr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ind w:left="-107" w:leftChars="-51"/>
              <w:rPr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ind w:left="-107" w:leftChars="-51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ind w:left="-107" w:leftChars="-51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ind w:left="-107" w:leftChars="-51"/>
              <w:rPr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00" w:lineRule="exact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00" w:lineRule="exact"/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5.要求行政机关确认或重新</w:t>
            </w:r>
          </w:p>
          <w:p>
            <w:pPr>
              <w:widowControl/>
              <w:shd w:val="clear"/>
              <w:spacing w:line="300" w:lineRule="exact"/>
              <w:ind w:firstLine="200" w:firstLineChars="100"/>
              <w:rPr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00" w:lineRule="exact"/>
              <w:rPr>
                <w:shd w:val="cle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shd w:val="clear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 w:line="200" w:lineRule="exact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78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ascii="宋体"/>
                <w:sz w:val="24"/>
                <w:shd w:val="clear"/>
              </w:rPr>
            </w:pPr>
          </w:p>
        </w:tc>
      </w:tr>
    </w:tbl>
    <w:p>
      <w:pPr>
        <w:pStyle w:val="3"/>
        <w:widowControl/>
        <w:shd w:val="clear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  <w:shd w:val="clear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/>
        </w:rPr>
        <w:t>四、政府信息公开行政复议、行政诉讼情况</w:t>
      </w:r>
    </w:p>
    <w:p>
      <w:pPr>
        <w:pStyle w:val="3"/>
        <w:widowControl/>
        <w:shd w:val="clear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  <w:shd w:val="clear"/>
        </w:rPr>
      </w:pPr>
    </w:p>
    <w:tbl>
      <w:tblPr>
        <w:tblStyle w:val="5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ind w:left="-149" w:leftChars="-71" w:right="-170" w:rightChars="-8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结果</w:t>
            </w:r>
          </w:p>
          <w:p>
            <w:pPr>
              <w:widowControl/>
              <w:shd w:val="clear"/>
              <w:ind w:left="-149" w:leftChars="-71" w:right="-170" w:rightChars="-81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ind w:left="-43" w:leftChars="-21" w:right="-132" w:rightChars="-63" w:hanging="1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ind w:left="-82" w:leftChars="-39" w:right="-97" w:rightChars="-46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ind w:left="-118" w:leftChars="-56" w:right="-118" w:rightChars="-56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尚未</w:t>
            </w:r>
          </w:p>
          <w:p>
            <w:pPr>
              <w:widowControl/>
              <w:shd w:val="clear"/>
              <w:ind w:left="-118" w:leftChars="-56" w:right="-118" w:rightChars="-56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总</w:t>
            </w:r>
          </w:p>
          <w:p>
            <w:pPr>
              <w:widowControl/>
              <w:shd w:val="clear"/>
              <w:spacing w:line="320" w:lineRule="exact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sz w:val="24"/>
                <w:shd w:val="clea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ind w:left="-105" w:leftChars="-50" w:right="-126" w:rightChars="-60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ind w:left="-86" w:leftChars="-41" w:right="-88" w:rightChars="-42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ind w:left="-126" w:leftChars="-60" w:right="-136" w:rightChars="-65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其他</w:t>
            </w:r>
          </w:p>
          <w:p>
            <w:pPr>
              <w:widowControl/>
              <w:shd w:val="clear"/>
              <w:ind w:left="-126" w:leftChars="-60" w:right="-136" w:rightChars="-65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ind w:left="-164" w:leftChars="-78" w:right="-153" w:rightChars="-73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尚未</w:t>
            </w:r>
          </w:p>
          <w:p>
            <w:pPr>
              <w:widowControl/>
              <w:shd w:val="clear"/>
              <w:ind w:left="-164" w:leftChars="-78" w:right="-153" w:rightChars="-73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ind w:left="-99" w:leftChars="-47" w:right="-78" w:rightChars="-37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ind w:left="-136" w:leftChars="-65" w:right="-124" w:rightChars="-59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结果</w:t>
            </w:r>
          </w:p>
          <w:p>
            <w:pPr>
              <w:widowControl/>
              <w:shd w:val="clear"/>
              <w:ind w:left="-136" w:leftChars="-65" w:right="-124" w:rightChars="-59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ind w:left="-173" w:leftChars="-83" w:right="-134" w:rightChars="-64" w:hang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</w:rPr>
              <w:t>其他</w:t>
            </w:r>
          </w:p>
          <w:p>
            <w:pPr>
              <w:widowControl/>
              <w:shd w:val="clear"/>
              <w:ind w:left="-173" w:leftChars="-83" w:right="-134" w:rightChars="-64" w:hanging="1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ind w:left="-67" w:leftChars="-33" w:right="-105" w:rightChars="-50" w:hanging="2" w:hangingChars="1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shd w:val="cle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shd w:val="clear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shd w:val="cle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shd w:val="clear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shd w:val="clear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shd w:val="cle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shd w:val="clear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shd w:val="cle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shd w:val="clear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="宋体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="宋体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="宋体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="宋体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shd w:val="cle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="宋体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both"/>
              <w:rPr>
                <w:rFonts w:hint="eastAsia" w:eastAsiaTheme="minor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="宋体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80"/>
              <w:jc w:val="center"/>
              <w:rPr>
                <w:rFonts w:hint="eastAsia" w:eastAsia="宋体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clear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 w:eastAsiaTheme="minorEastAsia"/>
                <w:sz w:val="24"/>
                <w:shd w:val="clear"/>
                <w:lang w:val="en-US" w:eastAsia="zh-CN"/>
              </w:rPr>
            </w:pPr>
            <w:r>
              <w:rPr>
                <w:rFonts w:hint="eastAsia" w:ascii="宋体"/>
                <w:sz w:val="24"/>
                <w:shd w:val="clear"/>
                <w:lang w:val="en-US" w:eastAsia="zh-CN"/>
              </w:rPr>
              <w:t>0</w:t>
            </w:r>
          </w:p>
        </w:tc>
      </w:tr>
    </w:tbl>
    <w:p>
      <w:pPr>
        <w:widowControl/>
        <w:shd w:val="clear"/>
        <w:jc w:val="center"/>
        <w:rPr>
          <w:rFonts w:ascii="宋体" w:hAnsi="宋体" w:eastAsia="宋体" w:cs="宋体"/>
          <w:color w:val="333333"/>
          <w:sz w:val="24"/>
          <w:shd w:val="clear"/>
        </w:rPr>
      </w:pPr>
    </w:p>
    <w:p>
      <w:pPr>
        <w:pStyle w:val="3"/>
        <w:widowControl/>
        <w:shd w:val="clear"/>
        <w:spacing w:beforeAutospacing="0" w:afterAutospacing="0"/>
        <w:ind w:firstLine="640" w:firstLineChars="200"/>
        <w:jc w:val="both"/>
        <w:rPr>
          <w:rFonts w:ascii="黑体" w:hAnsi="黑体" w:eastAsia="黑体" w:cs="宋体"/>
          <w:color w:val="333333"/>
          <w:sz w:val="32"/>
          <w:szCs w:val="32"/>
          <w:shd w:val="clear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/>
        </w:rPr>
        <w:t>五、存在的主要问题及改进情况</w:t>
      </w:r>
    </w:p>
    <w:p>
      <w:pPr>
        <w:pStyle w:val="3"/>
        <w:widowControl/>
        <w:shd w:val="clear"/>
        <w:spacing w:beforeAutospacing="0" w:afterAutospacing="0"/>
        <w:ind w:firstLine="640" w:firstLineChars="200"/>
        <w:jc w:val="both"/>
        <w:rPr>
          <w:rFonts w:hint="eastAsia" w:ascii="仿宋_GB2312" w:hAnsi="宋体" w:eastAsia="仿宋_GB2312" w:cs="宋体"/>
          <w:color w:val="333333"/>
          <w:sz w:val="32"/>
          <w:szCs w:val="32"/>
          <w:shd w:val="clear"/>
          <w:lang w:eastAsia="zh-CN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/>
          <w:lang w:eastAsia="zh-CN"/>
        </w:rPr>
        <w:t>本年度政府信息公开工作虽然取得了新的进步，但与新形势、新任务、新要求相比，还存在一些差距和不足。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/>
          <w:lang w:eastAsia="zh-CN"/>
        </w:rPr>
        <w:t>一是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/>
          <w:lang w:eastAsia="zh-CN"/>
        </w:rPr>
        <w:t>公开意识有待进一步提升，仍有部分同志对政府信息公开工作认识不到位，存在“不敢公开”、“不愿公开”的情况。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/>
          <w:lang w:eastAsia="zh-CN"/>
        </w:rPr>
        <w:t>二是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/>
          <w:lang w:eastAsia="zh-CN"/>
        </w:rPr>
        <w:t>信息发布时效性有待提高，部分信息发布滞后，更新不及时。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/>
          <w:lang w:eastAsia="zh-CN"/>
        </w:rPr>
        <w:t>三是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/>
          <w:lang w:eastAsia="zh-CN"/>
        </w:rPr>
        <w:t>部分栏目设置不够合理，信息分类不够精准。今后将重点从以下几个方面加以改进。</w:t>
      </w:r>
    </w:p>
    <w:p>
      <w:pPr>
        <w:pStyle w:val="3"/>
        <w:widowControl/>
        <w:shd w:val="clear"/>
        <w:spacing w:beforeAutospacing="0" w:afterAutospacing="0"/>
        <w:ind w:firstLine="420"/>
        <w:jc w:val="both"/>
        <w:rPr>
          <w:rFonts w:hint="eastAsia" w:ascii="仿宋_GB2312" w:hAnsi="宋体" w:eastAsia="仿宋_GB2312" w:cs="宋体"/>
          <w:color w:val="333333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/>
          <w:lang w:val="en-US" w:eastAsia="zh-CN"/>
        </w:rPr>
        <w:t>一是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/>
          <w:lang w:val="en-US" w:eastAsia="zh-CN"/>
        </w:rPr>
        <w:t>进一步加强信息公开平台建设。按照省政府同意信息公开目录进一步优化栏目分类设置，避免出现“空架子”“大杂烩”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/>
          <w:lang w:val="en-US" w:eastAsia="zh-CN"/>
        </w:rPr>
        <w:t>。二是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/>
          <w:lang w:val="en-US" w:eastAsia="zh-CN"/>
        </w:rPr>
        <w:t>进一步细化责任分工。明确处室信息公开主体责任，办公室负责统筹协调，有关处室落实专人负责信息公开内容制作、发布、维护工作，依法履行政府信息公开义务，建立“谁主管、谁负责，谁制作、谁发布”的信息公开机制。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/>
          <w:lang w:val="en-US" w:eastAsia="zh-CN"/>
        </w:rPr>
        <w:t>三是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/>
          <w:lang w:val="en-US" w:eastAsia="zh-CN"/>
        </w:rPr>
        <w:t>进一步扩大工作交流。继续加强与省政府办公厅及有关部门在政务公开方面的学习交流，吸收好的经验做法，不断提升工作水平。</w:t>
      </w:r>
    </w:p>
    <w:p>
      <w:pPr>
        <w:pStyle w:val="3"/>
        <w:widowControl/>
        <w:shd w:val="clear"/>
        <w:spacing w:beforeAutospacing="0" w:afterAutospacing="0"/>
        <w:ind w:firstLine="640" w:firstLineChars="200"/>
        <w:jc w:val="both"/>
        <w:rPr>
          <w:shd w:val="clear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/>
          <w:lang w:eastAsia="zh-CN"/>
        </w:rPr>
        <w:t>无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/>
        </w:rPr>
        <w:t>其他需要报告的事项</w:t>
      </w:r>
    </w:p>
    <w:p>
      <w:pPr>
        <w:shd w:val="clear"/>
        <w:rPr>
          <w:shd w:val="cle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52199"/>
    <w:rsid w:val="070A166F"/>
    <w:rsid w:val="0C64301B"/>
    <w:rsid w:val="0DB80401"/>
    <w:rsid w:val="235F3A3D"/>
    <w:rsid w:val="2579041A"/>
    <w:rsid w:val="28372653"/>
    <w:rsid w:val="2ED022AF"/>
    <w:rsid w:val="2FF351C2"/>
    <w:rsid w:val="31607792"/>
    <w:rsid w:val="45332516"/>
    <w:rsid w:val="51DE1076"/>
    <w:rsid w:val="58655C37"/>
    <w:rsid w:val="6424792C"/>
    <w:rsid w:val="690746D3"/>
    <w:rsid w:val="6C352199"/>
    <w:rsid w:val="6E05498B"/>
    <w:rsid w:val="7CFE73C8"/>
    <w:rsid w:val="7D1C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Normal Indent1"/>
    <w:basedOn w:val="1"/>
    <w:qFormat/>
    <w:uiPriority w:val="0"/>
    <w:pPr>
      <w:spacing w:line="440" w:lineRule="exact"/>
      <w:ind w:firstLine="48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2021-01-22T02:31:00Z</dcterms:created>
  <dc:creator>赵明</dc:creator>
  <cp:lastModifiedBy>User</cp:lastModifiedBy>
  <cp:lastPrinted>2021-01-27T06:46:00Z</cp:lastPrinted>
  <dcterms:modified xsi:type="dcterms:W3CDTF">2021-05-19T03:24:34Z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