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0474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Borders>
              <w:insideH w:val="single" w:sz="12" w:space="0"/>
              <w:insideV w:val="single" w:sz="4" w:space="0"/>
              <w:tl2br w:val="nil"/>
              <w:tr2bl w:val="nil"/>
            </w:tcBorders>
          </w:tcPr>
          <w:p w14:paraId="4B73C8B1">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bookmarkStart w:id="0" w:name="_Hlk143782259"/>
            <w:bookmarkEnd w:id="0"/>
            <w:r>
              <w:rPr>
                <w:rFonts w:ascii="Times New Roman" w:hAnsi="Times New Roman" w:eastAsia="黑体"/>
                <w:sz w:val="21"/>
                <w:szCs w:val="21"/>
              </w:rPr>
              <w:t>ICS</w:t>
            </w:r>
            <w:r>
              <w:rPr>
                <w:rFonts w:ascii="黑体" w:hAnsi="黑体" w:eastAsia="黑体"/>
                <w:sz w:val="21"/>
                <w:szCs w:val="21"/>
              </w:rPr>
              <w:t xml:space="preserve">  </w:t>
            </w:r>
          </w:p>
        </w:tc>
        <w:tc>
          <w:tcPr>
            <w:tcW w:w="8855" w:type="dxa"/>
            <w:tcBorders>
              <w:insideH w:val="single" w:sz="12" w:space="0"/>
              <w:insideV w:val="single" w:sz="4" w:space="0"/>
              <w:tl2br w:val="nil"/>
              <w:tr2bl w:val="nil"/>
            </w:tcBorders>
          </w:tcPr>
          <w:p w14:paraId="33E70212">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1"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93.040</w:t>
            </w:r>
            <w:r>
              <w:rPr>
                <w:rFonts w:ascii="黑体" w:hAnsi="黑体" w:eastAsia="黑体"/>
                <w:sz w:val="21"/>
                <w:szCs w:val="21"/>
              </w:rPr>
              <w:fldChar w:fldCharType="end"/>
            </w:r>
            <w:bookmarkEnd w:id="1"/>
          </w:p>
        </w:tc>
      </w:tr>
      <w:tr w14:paraId="51D44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Borders>
              <w:tl2br w:val="nil"/>
              <w:tr2bl w:val="nil"/>
            </w:tcBorders>
          </w:tcPr>
          <w:p w14:paraId="09D10400">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Borders>
              <w:tl2br w:val="nil"/>
              <w:tr2bl w:val="nil"/>
            </w:tcBorders>
          </w:tcPr>
          <w:p w14:paraId="329323E1">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t>28</w:t>
            </w:r>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D23473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Borders>
              <w:top w:val="nil"/>
              <w:left w:val="nil"/>
              <w:bottom w:val="nil"/>
              <w:right w:val="nil"/>
              <w:insideV w:val="single" w:sz="4" w:space="0"/>
              <w:tl2br w:val="nil"/>
              <w:tr2bl w:val="nil"/>
            </w:tcBorders>
          </w:tcPr>
          <w:p w14:paraId="5855C2E9">
            <w:pPr>
              <w:pStyle w:val="52"/>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7D713D96">
      <w:pPr>
        <w:pStyle w:val="53"/>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C548D83">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w:t>
      </w:r>
      <w:r>
        <w:t>XX</w:t>
      </w:r>
      <w:r>
        <w:fldChar w:fldCharType="end"/>
      </w:r>
      <w:bookmarkEnd w:id="7"/>
    </w:p>
    <w:p w14:paraId="52C5DBB1">
      <w:pPr>
        <w:pStyle w:val="199"/>
      </w:pPr>
    </w:p>
    <w:p w14:paraId="0B89EDF2">
      <w:pPr>
        <w:spacing w:line="240" w:lineRule="auto"/>
        <w:rPr>
          <w:rFonts w:hint="eastAsia" w:ascii="黑体" w:hAnsi="黑体" w:eastAsia="黑体"/>
          <w:kern w:val="0"/>
          <w:sz w:val="10"/>
          <w:szCs w:val="10"/>
        </w:rPr>
      </w:pPr>
      <w:r>
        <w:rPr>
          <w:rFonts w:hint="eastAsia"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457A0BD2">
      <w:pPr>
        <w:pStyle w:val="53"/>
        <w:framePr w:w="9639" w:h="2281" w:hRule="exact" w:hSpace="0" w:vSpace="0" w:wrap="around" w:hAnchor="page" w:x="1465" w:y="7573"/>
        <w:jc w:val="center"/>
        <w:rPr>
          <w:rFonts w:hint="eastAsia" w:ascii="黑体" w:hAnsi="黑体" w:eastAsia="黑体"/>
          <w:b w:val="0"/>
          <w:bCs w:val="0"/>
          <w:w w:val="100"/>
          <w:sz w:val="32"/>
          <w:szCs w:val="32"/>
        </w:rPr>
      </w:pPr>
      <w:r>
        <w:rPr>
          <w:rFonts w:hint="eastAsia" w:ascii="黑体" w:hAnsi="黑体" w:eastAsia="黑体"/>
          <w:b w:val="0"/>
          <w:bCs w:val="0"/>
          <w:w w:val="100"/>
          <w:sz w:val="32"/>
          <w:szCs w:val="32"/>
        </w:rPr>
        <w:t>（</w:t>
      </w:r>
      <w:r>
        <w:rPr>
          <w:rFonts w:hint="eastAsia" w:ascii="黑体" w:hAnsi="黑体" w:eastAsia="黑体"/>
          <w:b w:val="0"/>
          <w:bCs w:val="0"/>
          <w:w w:val="100"/>
          <w:sz w:val="32"/>
          <w:szCs w:val="32"/>
          <w:lang w:val="en-US" w:eastAsia="zh-CN"/>
        </w:rPr>
        <w:t>报批稿</w:t>
      </w:r>
      <w:r>
        <w:rPr>
          <w:rFonts w:hint="eastAsia" w:ascii="黑体" w:hAnsi="黑体" w:eastAsia="黑体"/>
          <w:b w:val="0"/>
          <w:bCs w:val="0"/>
          <w:w w:val="100"/>
          <w:sz w:val="32"/>
          <w:szCs w:val="32"/>
        </w:rPr>
        <w:t>）</w:t>
      </w:r>
    </w:p>
    <w:p w14:paraId="762445E3">
      <w:pPr>
        <w:pStyle w:val="200"/>
        <w:framePr w:h="1381" w:hRule="exact" w:x="1477" w:y="5161"/>
        <w:rPr>
          <w:rFonts w:hint="eastAsia"/>
        </w:rPr>
      </w:pPr>
      <w:r>
        <w:rPr>
          <w:rFonts w:hint="eastAsia"/>
        </w:rPr>
        <w:fldChar w:fldCharType="begin">
          <w:ffData>
            <w:name w:val="CSTD_NAME"/>
            <w:enabled/>
            <w:calcOnExit w:val="0"/>
            <w:textInput>
              <w:default w:val="公路桥梁与隧道长期性能科学观测点建设规范"/>
            </w:textInput>
          </w:ffData>
        </w:fldChar>
      </w:r>
      <w:r>
        <w:rPr>
          <w:rFonts w:hint="eastAsia"/>
        </w:rPr>
        <w:instrText xml:space="preserve"> </w:instrText>
      </w:r>
      <w:bookmarkStart w:id="8" w:name="CSTD_NAME"/>
      <w:r>
        <w:instrText xml:space="preserve">FORMTEXT</w:instrText>
      </w:r>
      <w:r>
        <w:rPr>
          <w:rFonts w:hint="eastAsia"/>
        </w:rPr>
        <w:instrText xml:space="preserve"> </w:instrText>
      </w:r>
      <w:r>
        <w:rPr>
          <w:rFonts w:hint="eastAsia"/>
        </w:rPr>
        <w:fldChar w:fldCharType="separate"/>
      </w:r>
      <w:r>
        <w:rPr>
          <w:rFonts w:hint="eastAsia"/>
        </w:rPr>
        <w:t>公路桥梁与隧道结构长期性能科学观测点建设规范</w:t>
      </w:r>
      <w:r>
        <w:rPr>
          <w:rFonts w:hint="eastAsia"/>
        </w:rPr>
        <w:fldChar w:fldCharType="end"/>
      </w:r>
      <w:bookmarkEnd w:id="8"/>
    </w:p>
    <w:p w14:paraId="689A040F">
      <w:pPr>
        <w:framePr w:w="9639" w:h="1141" w:hRule="exact" w:wrap="around" w:vAnchor="page" w:hAnchor="page" w:x="1419" w:y="6257" w:anchorLock="1"/>
        <w:ind w:left="-1418"/>
        <w:pPrChange w:id="0" w:author="ming shao" w:date="2026-03-20T14:52:00Z">
          <w:pPr>
            <w:framePr w:w="9639" w:h="1681" w:hRule="exact" w:wrap="around" w:vAnchor="page" w:hAnchor="page" w:x="1419" w:y="6408" w:anchorLock="1"/>
            <w:ind w:left="-1418"/>
          </w:pPr>
        </w:pPrChange>
      </w:pPr>
    </w:p>
    <w:p w14:paraId="779A912E">
      <w:pPr>
        <w:pStyle w:val="128"/>
        <w:framePr w:w="9639" w:h="1141" w:hRule="exact" w:wrap="around" w:vAnchor="page" w:hAnchor="page" w:x="1419" w:y="6257" w:anchorLock="1"/>
        <w:textAlignment w:val="bottom"/>
        <w:rPr>
          <w:rFonts w:eastAsia="黑体"/>
          <w:b/>
          <w:sz w:val="21"/>
          <w:szCs w:val="28"/>
        </w:rPr>
      </w:pPr>
      <w:bookmarkStart w:id="9" w:name="ESTD_NAME"/>
      <w:r>
        <w:rPr>
          <w:rFonts w:eastAsia="黑体"/>
          <w:color w:val="000000" w:themeColor="text1"/>
          <w:szCs w:val="28"/>
          <w14:textFill>
            <w14:solidFill>
              <w14:schemeClr w14:val="tx1"/>
            </w14:solidFill>
          </w14:textFill>
        </w:rPr>
        <w:fldChar w:fldCharType="begin">
          <w:ffData>
            <w:name w:val="ESTD_NAME"/>
            <w:enabled/>
            <w:calcOnExit w:val="0"/>
            <w:textInput>
              <w:default w:val=" Construction specification of scientific observation station for long-term performace of highway bridges and tunnels"/>
            </w:textInput>
          </w:ffData>
        </w:fldChar>
      </w:r>
      <w:r>
        <w:rPr>
          <w:rFonts w:eastAsia="黑体"/>
          <w:color w:val="000000" w:themeColor="text1"/>
          <w:szCs w:val="28"/>
          <w14:textFill>
            <w14:solidFill>
              <w14:schemeClr w14:val="tx1"/>
            </w14:solidFill>
          </w14:textFill>
        </w:rPr>
        <w:instrText xml:space="preserve">FORMTEXT</w:instrText>
      </w:r>
      <w:r>
        <w:rPr>
          <w:rFonts w:eastAsia="黑体"/>
          <w:color w:val="000000" w:themeColor="text1"/>
          <w:szCs w:val="28"/>
          <w14:textFill>
            <w14:solidFill>
              <w14:schemeClr w14:val="tx1"/>
            </w14:solidFill>
          </w14:textFill>
        </w:rPr>
        <w:fldChar w:fldCharType="separate"/>
      </w:r>
      <w:r>
        <w:rPr>
          <w:rFonts w:eastAsia="黑体"/>
          <w:color w:val="000000" w:themeColor="text1"/>
          <w:szCs w:val="28"/>
          <w14:textFill>
            <w14:solidFill>
              <w14:schemeClr w14:val="tx1"/>
            </w14:solidFill>
          </w14:textFill>
        </w:rPr>
        <w:t xml:space="preserve"> Construction specification</w:t>
      </w:r>
      <w:r>
        <w:rPr>
          <w:rFonts w:hint="eastAsia" w:eastAsia="黑体"/>
          <w:color w:val="000000" w:themeColor="text1"/>
          <w:szCs w:val="28"/>
          <w14:textFill>
            <w14:solidFill>
              <w14:schemeClr w14:val="tx1"/>
            </w14:solidFill>
          </w14:textFill>
        </w:rPr>
        <w:t>s</w:t>
      </w:r>
      <w:r>
        <w:rPr>
          <w:rFonts w:eastAsia="黑体"/>
          <w:color w:val="000000" w:themeColor="text1"/>
          <w:szCs w:val="28"/>
          <w14:textFill>
            <w14:solidFill>
              <w14:schemeClr w14:val="tx1"/>
            </w14:solidFill>
          </w14:textFill>
        </w:rPr>
        <w:t xml:space="preserve"> of scientific observation station for long-term performa</w:t>
      </w:r>
      <w:r>
        <w:rPr>
          <w:rFonts w:hint="eastAsia" w:eastAsia="黑体"/>
          <w:color w:val="000000" w:themeColor="text1"/>
          <w:szCs w:val="28"/>
          <w:lang w:val="en-US" w:eastAsia="zh-CN"/>
          <w14:textFill>
            <w14:solidFill>
              <w14:schemeClr w14:val="tx1"/>
            </w14:solidFill>
          </w14:textFill>
        </w:rPr>
        <w:t>n</w:t>
      </w:r>
      <w:r>
        <w:rPr>
          <w:rFonts w:eastAsia="黑体"/>
          <w:color w:val="000000" w:themeColor="text1"/>
          <w:szCs w:val="28"/>
          <w14:textFill>
            <w14:solidFill>
              <w14:schemeClr w14:val="tx1"/>
            </w14:solidFill>
          </w14:textFill>
        </w:rPr>
        <w:t>ce of highway bridges and tunnel</w:t>
      </w:r>
      <w:r>
        <w:rPr>
          <w:rFonts w:hint="eastAsia" w:eastAsia="黑体"/>
          <w:color w:val="000000" w:themeColor="text1"/>
          <w:szCs w:val="28"/>
          <w14:textFill>
            <w14:solidFill>
              <w14:schemeClr w14:val="tx1"/>
            </w14:solidFill>
          </w14:textFill>
        </w:rPr>
        <w:t xml:space="preserve"> structures</w:t>
      </w:r>
      <w:r>
        <w:rPr>
          <w:rFonts w:eastAsia="黑体"/>
          <w:color w:val="000000" w:themeColor="text1"/>
          <w:szCs w:val="28"/>
          <w14:textFill>
            <w14:solidFill>
              <w14:schemeClr w14:val="tx1"/>
            </w14:solidFill>
          </w14:textFill>
        </w:rPr>
        <w:fldChar w:fldCharType="end"/>
      </w:r>
      <w:bookmarkEnd w:id="9"/>
      <w:r>
        <w:rPr>
          <w:rFonts w:hint="eastAsia" w:eastAsia="黑体"/>
          <w:color w:val="000000" w:themeColor="text1"/>
          <w:szCs w:val="28"/>
          <w14:textFill>
            <w14:solidFill>
              <w14:schemeClr w14:val="tx1"/>
            </w14:solidFill>
          </w14:textFill>
        </w:rPr>
        <w:t xml:space="preserve"> </w:t>
      </w:r>
    </w:p>
    <w:p w14:paraId="7FC09AD3">
      <w:pPr>
        <w:pStyle w:val="196"/>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hint="eastAsia" w:ascii="黑体"/>
        </w:rPr>
        <w:t>20</w:t>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1B00A071">
      <w:pPr>
        <w:pStyle w:val="197"/>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hint="eastAsia" w:ascii="黑体"/>
        </w:rPr>
        <w:t>20</w:t>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0217D869">
      <w:pPr>
        <w:pStyle w:val="154"/>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w:t>
      </w:r>
      <w:r>
        <w:rPr>
          <w:rFonts w:hAnsi="黑体"/>
          <w:w w:val="100"/>
          <w:sz w:val="28"/>
        </w:rPr>
        <w:t>市场监督管理局</w:t>
      </w:r>
      <w:r>
        <w:rPr>
          <w:rFonts w:hAnsi="黑体"/>
          <w:w w:val="100"/>
          <w:sz w:val="28"/>
        </w:rPr>
        <w:fldChar w:fldCharType="end"/>
      </w:r>
      <w:bookmarkEnd w:id="16"/>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67D5E0F3">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sdt>
      <w:sdtPr>
        <w:rPr>
          <w:rFonts w:ascii="宋体" w:hAnsi="宋体" w:eastAsia="宋体" w:cs="Times New Roman"/>
          <w:kern w:val="2"/>
          <w:sz w:val="21"/>
          <w:szCs w:val="21"/>
          <w:lang w:val="en-US" w:eastAsia="zh-CN" w:bidi="ar-SA"/>
        </w:rPr>
        <w:id w:val="147458398"/>
        <w15:color w:val="DBDBDB"/>
        <w:docPartObj>
          <w:docPartGallery w:val="Table of Contents"/>
          <w:docPartUnique/>
        </w:docPartObj>
      </w:sdtPr>
      <w:sdtEndPr>
        <w:rPr>
          <w:rFonts w:ascii="黑体" w:hAnsi="Calibri" w:eastAsia="黑体" w:cs="Times New Roman"/>
          <w:kern w:val="2"/>
          <w:sz w:val="32"/>
          <w:szCs w:val="21"/>
          <w:lang w:val="en-US" w:eastAsia="zh-CN" w:bidi="ar-SA"/>
        </w:rPr>
      </w:sdtEndPr>
      <w:sdtContent>
        <w:p w14:paraId="2C77049E">
          <w:pPr>
            <w:keepNext w:val="0"/>
            <w:keepLines w:val="0"/>
            <w:pageBreakBefore w:val="0"/>
            <w:widowControl w:val="0"/>
            <w:kinsoku/>
            <w:wordWrap/>
            <w:overflowPunct/>
            <w:topLinePunct w:val="0"/>
            <w:autoSpaceDE/>
            <w:autoSpaceDN/>
            <w:bidi w:val="0"/>
            <w:adjustRightInd w:val="0"/>
            <w:snapToGrid/>
            <w:spacing w:before="0" w:beforeLines="0" w:after="469" w:afterLines="150" w:line="240" w:lineRule="auto"/>
            <w:ind w:left="0" w:leftChars="0" w:right="0" w:rightChars="0"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次</w:t>
          </w:r>
        </w:p>
        <w:p w14:paraId="5263F090">
          <w:pPr>
            <w:pStyle w:val="20"/>
            <w:tabs>
              <w:tab w:val="right" w:leader="dot" w:pos="9354"/>
            </w:tabs>
            <w:rPr>
              <w:rFonts w:hint="default" w:ascii="Times New Roman" w:hAnsi="Times New Roman" w:eastAsia="宋体" w:cs="Times New Roman"/>
              <w:sz w:val="21"/>
              <w:szCs w:val="21"/>
            </w:rPr>
          </w:pPr>
          <w:bookmarkStart w:id="163" w:name="_GoBack"/>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TOC \o "1-1" \h \u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_Toc27593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pacing w:val="320"/>
              <w:sz w:val="21"/>
              <w:szCs w:val="21"/>
            </w:rPr>
            <w:t>前</w:t>
          </w:r>
          <w:r>
            <w:rPr>
              <w:rFonts w:hint="default" w:ascii="Times New Roman" w:hAnsi="Times New Roman" w:eastAsia="宋体" w:cs="Times New Roman"/>
              <w:sz w:val="21"/>
              <w:szCs w:val="21"/>
            </w:rPr>
            <w:t>言</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_Toc27593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II</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33ABA301">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_Toc19065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1 </w:t>
          </w:r>
          <w:r>
            <w:rPr>
              <w:rFonts w:hint="default" w:ascii="Times New Roman" w:hAnsi="Times New Roman" w:eastAsia="宋体" w:cs="Times New Roman"/>
              <w:sz w:val="21"/>
              <w:szCs w:val="21"/>
            </w:rPr>
            <w:t>范围</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_Toc19065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17737FFB">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_Toc22692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2 </w:t>
          </w:r>
          <w:r>
            <w:rPr>
              <w:rFonts w:hint="default" w:ascii="Times New Roman" w:hAnsi="Times New Roman" w:eastAsia="宋体" w:cs="Times New Roman"/>
              <w:sz w:val="21"/>
              <w:szCs w:val="21"/>
            </w:rPr>
            <w:t>规范性引用文件</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_Toc22692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26587CC3">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_Toc4004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3 </w:t>
          </w:r>
          <w:r>
            <w:rPr>
              <w:rFonts w:hint="default" w:ascii="Times New Roman" w:hAnsi="Times New Roman" w:eastAsia="宋体" w:cs="Times New Roman"/>
              <w:sz w:val="21"/>
              <w:szCs w:val="21"/>
            </w:rPr>
            <w:t>术语和定义</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_Toc4004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3B0EC6A1">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_Toc25999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4 </w:t>
          </w:r>
          <w:r>
            <w:rPr>
              <w:rFonts w:hint="default" w:ascii="Times New Roman" w:hAnsi="Times New Roman" w:eastAsia="宋体" w:cs="Times New Roman"/>
              <w:sz w:val="21"/>
              <w:szCs w:val="21"/>
            </w:rPr>
            <w:t>总体要求</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_Toc25999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38A6E677">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_Toc21688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5 </w:t>
          </w:r>
          <w:r>
            <w:rPr>
              <w:rFonts w:hint="default" w:ascii="Times New Roman" w:hAnsi="Times New Roman" w:eastAsia="宋体" w:cs="Times New Roman"/>
              <w:sz w:val="21"/>
              <w:szCs w:val="21"/>
            </w:rPr>
            <w:t>建设布局和方案</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_Toc21688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10AB6844">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_Toc20334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6 </w:t>
          </w:r>
          <w:r>
            <w:rPr>
              <w:rFonts w:hint="default" w:ascii="Times New Roman" w:hAnsi="Times New Roman" w:eastAsia="宋体" w:cs="Times New Roman"/>
              <w:sz w:val="21"/>
              <w:szCs w:val="21"/>
            </w:rPr>
            <w:t>桥梁观测点建设</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_Toc20334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6D340643">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_Toc30183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7 </w:t>
          </w:r>
          <w:r>
            <w:rPr>
              <w:rFonts w:hint="default" w:ascii="Times New Roman" w:hAnsi="Times New Roman" w:eastAsia="宋体" w:cs="Times New Roman"/>
              <w:sz w:val="21"/>
              <w:szCs w:val="21"/>
            </w:rPr>
            <w:t>隧道结构观测点建设</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_Toc30183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5</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3F55B14A">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_Toc12575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8 </w:t>
          </w:r>
          <w:r>
            <w:rPr>
              <w:rFonts w:hint="default" w:ascii="Times New Roman" w:hAnsi="Times New Roman" w:eastAsia="宋体" w:cs="Times New Roman"/>
              <w:sz w:val="21"/>
              <w:szCs w:val="21"/>
            </w:rPr>
            <w:t>数据采集和传输系统安装</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_Toc12575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4343CAF9">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_Toc23614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9 </w:t>
          </w:r>
          <w:r>
            <w:rPr>
              <w:rFonts w:hint="default" w:ascii="Times New Roman" w:hAnsi="Times New Roman" w:eastAsia="宋体" w:cs="Times New Roman"/>
              <w:sz w:val="21"/>
              <w:szCs w:val="21"/>
            </w:rPr>
            <w:t>数据中心建设</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_Toc23614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8</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71F803A1">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_Toc19064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10 </w:t>
          </w:r>
          <w:r>
            <w:rPr>
              <w:rFonts w:hint="default" w:ascii="Times New Roman" w:hAnsi="Times New Roman" w:eastAsia="宋体" w:cs="Times New Roman"/>
              <w:sz w:val="21"/>
              <w:szCs w:val="21"/>
            </w:rPr>
            <w:t>验收与维护</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_Toc19064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8</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23E6FFDB">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_Toc24376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i w:val="0"/>
              <w:sz w:val="21"/>
              <w:szCs w:val="21"/>
            </w:rPr>
            <w:t xml:space="preserve">11 </w:t>
          </w:r>
          <w:r>
            <w:rPr>
              <w:rFonts w:hint="default" w:ascii="Times New Roman" w:hAnsi="Times New Roman" w:eastAsia="宋体" w:cs="Times New Roman"/>
              <w:sz w:val="21"/>
              <w:szCs w:val="21"/>
              <w:lang w:val="en-US" w:eastAsia="zh-CN"/>
            </w:rPr>
            <w:t>检验与证实方法</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_Toc24376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9</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18627CF3">
          <w:pPr>
            <w:pStyle w:val="20"/>
            <w:tabs>
              <w:tab w:val="right" w:leader="dot" w:pos="9354"/>
            </w:tabs>
            <w:rPr>
              <w:rFonts w:hint="default" w:ascii="Times New Roman" w:hAnsi="Times New Roman" w:eastAsia="宋体" w:cs="Times New Roman"/>
              <w:sz w:val="21"/>
              <w:szCs w:val="21"/>
            </w:rPr>
          </w:pP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HYPERLINK \l _Toc14366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bCs w:val="0"/>
              <w:kern w:val="0"/>
              <w:sz w:val="21"/>
              <w:szCs w:val="21"/>
            </w:rPr>
            <w:t>附录 A</w:t>
          </w:r>
          <w:r>
            <w:rPr>
              <w:rFonts w:hint="default" w:ascii="Times New Roman" w:hAnsi="Times New Roman" w:eastAsia="宋体" w:cs="Times New Roman"/>
              <w:bCs w:val="0"/>
              <w:kern w:val="0"/>
              <w:sz w:val="21"/>
              <w:szCs w:val="21"/>
            </w:rPr>
            <w:t xml:space="preserve"> </w:t>
          </w:r>
          <w:r>
            <w:rPr>
              <w:rFonts w:hint="default" w:ascii="Times New Roman" w:hAnsi="Times New Roman" w:eastAsia="宋体" w:cs="Times New Roman"/>
              <w:bCs w:val="0"/>
              <w:kern w:val="0"/>
              <w:sz w:val="21"/>
              <w:szCs w:val="21"/>
            </w:rPr>
            <w:t>（规范性）</w:t>
          </w:r>
          <w:r>
            <w:rPr>
              <w:rFonts w:hint="default" w:ascii="Times New Roman" w:hAnsi="Times New Roman" w:eastAsia="宋体" w:cs="Times New Roman"/>
              <w:bCs w:val="0"/>
              <w:kern w:val="0"/>
              <w:sz w:val="21"/>
              <w:szCs w:val="21"/>
            </w:rPr>
            <w:t xml:space="preserve"> </w:t>
          </w:r>
          <w:r>
            <w:rPr>
              <w:rFonts w:hint="default" w:ascii="Times New Roman" w:hAnsi="Times New Roman" w:eastAsia="宋体" w:cs="Times New Roman"/>
              <w:bCs w:val="0"/>
              <w:kern w:val="0"/>
              <w:sz w:val="21"/>
              <w:szCs w:val="21"/>
            </w:rPr>
            <w:t>观测点标志牌</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PAGEREF _Toc14366 \h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12</w:t>
          </w:r>
          <w:r>
            <w:rPr>
              <w:rFonts w:hint="default" w:ascii="Times New Roman" w:hAnsi="Times New Roman" w:eastAsia="宋体" w:cs="Times New Roman"/>
              <w:sz w:val="21"/>
              <w:szCs w:val="21"/>
            </w:rPr>
            <w:fldChar w:fldCharType="end"/>
          </w:r>
          <w:r>
            <w:rPr>
              <w:rFonts w:hint="default" w:ascii="Times New Roman" w:hAnsi="Times New Roman" w:eastAsia="宋体" w:cs="Times New Roman"/>
              <w:sz w:val="21"/>
              <w:szCs w:val="21"/>
            </w:rPr>
            <w:fldChar w:fldCharType="end"/>
          </w:r>
        </w:p>
        <w:p w14:paraId="65ABAB5A">
          <w:pPr>
            <w:pStyle w:val="94"/>
            <w:spacing w:after="468"/>
            <w:rPr>
              <w:rFonts w:ascii="黑体" w:hAnsi="Calibri" w:eastAsia="黑体" w:cs="Times New Roman"/>
              <w:kern w:val="2"/>
              <w:sz w:val="32"/>
              <w:szCs w:val="21"/>
              <w:lang w:val="en-US" w:eastAsia="zh-CN" w:bidi="ar-SA"/>
            </w:rPr>
          </w:pPr>
          <w:r>
            <w:rPr>
              <w:rFonts w:hint="default" w:ascii="Times New Roman" w:hAnsi="Times New Roman" w:eastAsia="宋体" w:cs="Times New Roman"/>
              <w:sz w:val="21"/>
              <w:szCs w:val="21"/>
            </w:rPr>
            <w:fldChar w:fldCharType="end"/>
          </w:r>
          <w:bookmarkEnd w:id="163"/>
        </w:p>
      </w:sdtContent>
    </w:sdt>
    <w:p w14:paraId="03D827D6">
      <w:pPr>
        <w:pStyle w:val="94"/>
        <w:spacing w:after="468"/>
        <w:rPr>
          <w:rFonts w:ascii="黑体" w:hAnsi="Calibri" w:eastAsia="黑体" w:cs="Times New Roman"/>
          <w:kern w:val="2"/>
          <w:sz w:val="32"/>
          <w:szCs w:val="21"/>
          <w:lang w:val="en-US" w:eastAsia="zh-CN" w:bidi="ar-SA"/>
        </w:rPr>
        <w:sectPr>
          <w:footerReference r:id="rId11" w:type="default"/>
          <w:pgSz w:w="11906" w:h="16838"/>
          <w:pgMar w:top="567" w:right="1134" w:bottom="1134" w:left="1134" w:header="1418" w:footer="1134" w:gutter="284"/>
          <w:pgNumType w:fmt="upperRoman" w:start="1"/>
          <w:cols w:space="425" w:num="1"/>
          <w:formProt w:val="0"/>
          <w:docGrid w:type="lines" w:linePitch="312" w:charSpace="0"/>
        </w:sectPr>
      </w:pPr>
    </w:p>
    <w:p w14:paraId="05D98233">
      <w:pPr>
        <w:pStyle w:val="92"/>
        <w:spacing w:after="468"/>
      </w:pPr>
      <w:bookmarkStart w:id="17" w:name="_Toc213852406"/>
      <w:bookmarkStart w:id="18" w:name="_Toc27593"/>
      <w:bookmarkStart w:id="19" w:name="BookMark2"/>
      <w:r>
        <w:rPr>
          <w:spacing w:val="320"/>
        </w:rPr>
        <w:t>前</w:t>
      </w:r>
      <w:r>
        <w:t>言</w:t>
      </w:r>
      <w:bookmarkEnd w:id="17"/>
      <w:bookmarkEnd w:id="18"/>
    </w:p>
    <w:p w14:paraId="0464A497">
      <w:pPr>
        <w:pStyle w:val="59"/>
        <w:ind w:firstLine="420" w:firstLineChars="200"/>
      </w:pPr>
      <w:r>
        <w:rPr>
          <w:rFonts w:hint="eastAsia"/>
        </w:rPr>
        <w:t>本文件按照GB/T 1.1—2020《标准化工作导则 第1部分：标准化文件的结构和起草规则》的规定起草。</w:t>
      </w:r>
    </w:p>
    <w:p w14:paraId="240AE1F7">
      <w:pPr>
        <w:pStyle w:val="59"/>
        <w:ind w:firstLine="420" w:firstLineChars="200"/>
      </w:pPr>
      <w:r>
        <w:rPr>
          <w:rFonts w:hint="eastAsia"/>
        </w:rPr>
        <w:t>请注意本文件的某些内容可能涉及专利。本文件的发布机构不承担识别专利的责任。</w:t>
      </w:r>
    </w:p>
    <w:p w14:paraId="508B818B">
      <w:pPr>
        <w:pStyle w:val="59"/>
        <w:ind w:firstLine="420" w:firstLineChars="200"/>
      </w:pPr>
      <w:r>
        <w:rPr>
          <w:rFonts w:hint="eastAsia"/>
        </w:rPr>
        <w:t>本文件由山东省交通运输厅提出并组织实施。</w:t>
      </w:r>
    </w:p>
    <w:p w14:paraId="12F58FE9">
      <w:pPr>
        <w:pStyle w:val="59"/>
        <w:ind w:firstLine="420" w:firstLineChars="200"/>
      </w:pPr>
      <w:r>
        <w:rPr>
          <w:rFonts w:hint="eastAsia"/>
        </w:rPr>
        <w:t>本文件由山东省交通运输标准化技术委员会（TC 41）归口。</w:t>
      </w:r>
    </w:p>
    <w:p w14:paraId="719E8C06">
      <w:pPr>
        <w:pStyle w:val="59"/>
        <w:ind w:firstLine="420" w:firstLineChars="200"/>
      </w:pPr>
      <w:r>
        <w:rPr>
          <w:rFonts w:hint="eastAsia"/>
        </w:rPr>
        <w:t>本文件起草单位：山东高速集团有限公司创新研究院、山东高速集团有限公司高速公路运营公司（高速公路运营中心）、山东高速工程检测有限公司、山东高速股份有限公司、山东高速基础设施建设有限公司、山东高速建设管理集团有限公司、山东高速青岛发展有限公司、山东鹏程路桥集团有限公司、山东省交通科学研究院、济宁济邹高速公路有限责任公司。</w:t>
      </w:r>
    </w:p>
    <w:p w14:paraId="6A6EACBA">
      <w:pPr>
        <w:pStyle w:val="59"/>
        <w:ind w:firstLine="420" w:firstLineChars="200"/>
      </w:pPr>
      <w:r>
        <w:rPr>
          <w:rFonts w:hint="eastAsia"/>
        </w:rPr>
        <w:t>本文件主要起草人：辛公锋、侯福金、龙关旭、李海生、刘乐民、张文武、韦金城、盖国晖、徐传昶、张文亮、王珊珊、吕新建、张希锋、商淑杰、李昌辉、胡学亮、马亚、闫晨、李传夫、王阳春、尚志强、文开艳、蒋洁、韩涛、朱士超、马乃轩、李广奇、南骁聪、韩文扬、邵珠峰、朱德保、张泽军、李帆、张锐。</w:t>
      </w:r>
    </w:p>
    <w:p w14:paraId="32E540CD">
      <w:pPr>
        <w:pStyle w:val="59"/>
      </w:pPr>
    </w:p>
    <w:p w14:paraId="1FF3BB29">
      <w:pPr>
        <w:pStyle w:val="59"/>
      </w:pPr>
    </w:p>
    <w:p w14:paraId="645FE0B2">
      <w:pPr>
        <w:pStyle w:val="59"/>
        <w:sectPr>
          <w:footerReference r:id="rId12" w:type="default"/>
          <w:pgSz w:w="11906" w:h="16838"/>
          <w:pgMar w:top="567" w:right="1134" w:bottom="1134" w:left="1134" w:header="1418" w:footer="1134" w:gutter="284"/>
          <w:pgNumType w:fmt="upperRoman"/>
          <w:cols w:space="425" w:num="1"/>
          <w:formProt w:val="0"/>
          <w:docGrid w:type="lines" w:linePitch="312" w:charSpace="0"/>
        </w:sectPr>
      </w:pPr>
    </w:p>
    <w:bookmarkEnd w:id="19"/>
    <w:p w14:paraId="4D3BED79">
      <w:pPr>
        <w:spacing w:line="20" w:lineRule="exact"/>
        <w:jc w:val="center"/>
        <w:rPr>
          <w:rFonts w:hint="eastAsia" w:ascii="黑体" w:hAnsi="黑体" w:eastAsia="黑体"/>
          <w:sz w:val="32"/>
          <w:szCs w:val="32"/>
        </w:rPr>
      </w:pPr>
      <w:bookmarkStart w:id="20" w:name="BookMark4"/>
    </w:p>
    <w:p w14:paraId="0F120883">
      <w:pPr>
        <w:spacing w:line="20" w:lineRule="exact"/>
        <w:jc w:val="center"/>
        <w:rPr>
          <w:rFonts w:hint="eastAsia" w:ascii="黑体" w:hAnsi="黑体" w:eastAsia="黑体"/>
          <w:sz w:val="32"/>
          <w:szCs w:val="32"/>
        </w:rPr>
      </w:pPr>
    </w:p>
    <w:p w14:paraId="41DD3CFE">
      <w:pPr>
        <w:pStyle w:val="180"/>
        <w:spacing w:before="312" w:beforeLines="100" w:after="686" w:afterLines="220"/>
        <w:rPr>
          <w:rFonts w:hint="eastAsia"/>
        </w:rPr>
      </w:pPr>
      <w:sdt>
        <w:sdtPr>
          <w:tag w:val="NEW_STAND_NAME"/>
          <w:id w:val="595910757"/>
          <w:lock w:val="sdtLocked"/>
          <w:placeholder>
            <w:docPart w:val="021382BEB6334716A3C4C81BC1FFB301"/>
          </w:placeholder>
        </w:sdtPr>
        <w:sdtContent>
          <w:bookmarkStart w:id="21" w:name="StandardName"/>
          <w:bookmarkStart w:id="22" w:name="_Toc2698"/>
          <w:bookmarkStart w:id="23" w:name="NEW_STAND_NAME"/>
          <w:bookmarkStart w:id="24" w:name="_Toc12566"/>
          <w:r>
            <w:rPr>
              <w:rFonts w:hint="eastAsia"/>
            </w:rPr>
            <w:t>公路桥梁与隧道结构长期性能科学观测点建设规范</w:t>
          </w:r>
        </w:sdtContent>
      </w:sdt>
    </w:p>
    <w:bookmarkEnd w:id="21"/>
    <w:bookmarkEnd w:id="22"/>
    <w:bookmarkEnd w:id="23"/>
    <w:bookmarkEnd w:id="24"/>
    <w:p w14:paraId="5F79A6FA">
      <w:pPr>
        <w:pStyle w:val="107"/>
        <w:spacing w:before="312" w:after="312"/>
      </w:pPr>
      <w:bookmarkStart w:id="25" w:name="_Toc17233325"/>
      <w:bookmarkStart w:id="26" w:name="_Toc17233333"/>
      <w:bookmarkStart w:id="27" w:name="_Toc24884218"/>
      <w:bookmarkStart w:id="28" w:name="_Toc213852407"/>
      <w:bookmarkStart w:id="29" w:name="_Toc26986771"/>
      <w:bookmarkStart w:id="30" w:name="_Toc26648465"/>
      <w:bookmarkStart w:id="31" w:name="_Toc83210842"/>
      <w:bookmarkStart w:id="32" w:name="_Toc26986530"/>
      <w:bookmarkStart w:id="33" w:name="_Toc24884211"/>
      <w:bookmarkStart w:id="34" w:name="_Toc26718930"/>
      <w:bookmarkStart w:id="35" w:name="_Toc82858163"/>
      <w:bookmarkStart w:id="36" w:name="_Toc19065"/>
      <w:r>
        <w:rPr>
          <w:rFonts w:hint="eastAsia"/>
        </w:rPr>
        <w:t>范围</w:t>
      </w:r>
      <w:bookmarkEnd w:id="25"/>
      <w:bookmarkEnd w:id="26"/>
      <w:bookmarkEnd w:id="27"/>
      <w:bookmarkEnd w:id="28"/>
      <w:bookmarkEnd w:id="29"/>
      <w:bookmarkEnd w:id="30"/>
      <w:bookmarkEnd w:id="31"/>
      <w:bookmarkEnd w:id="32"/>
      <w:bookmarkEnd w:id="33"/>
      <w:bookmarkEnd w:id="34"/>
      <w:bookmarkEnd w:id="35"/>
      <w:bookmarkEnd w:id="36"/>
    </w:p>
    <w:p w14:paraId="5907A254">
      <w:pPr>
        <w:pStyle w:val="59"/>
        <w:ind w:firstLine="420" w:firstLineChars="200"/>
      </w:pPr>
      <w:bookmarkStart w:id="37" w:name="_Toc24884219"/>
      <w:bookmarkStart w:id="38" w:name="_Toc17233326"/>
      <w:bookmarkStart w:id="39" w:name="_Toc26648466"/>
      <w:bookmarkStart w:id="40" w:name="_Toc24884212"/>
      <w:bookmarkStart w:id="41" w:name="_Toc17233334"/>
      <w:r>
        <w:rPr>
          <w:rFonts w:hint="eastAsia"/>
        </w:rPr>
        <w:t>本文件规定了公路桥梁与隧道结构长期性能科学观测点（简称</w:t>
      </w:r>
      <w:r>
        <w:rPr>
          <w:rFonts w:hint="eastAsia"/>
          <w:lang w:eastAsia="zh-CN"/>
        </w:rPr>
        <w:t>“</w:t>
      </w:r>
      <w:r>
        <w:rPr>
          <w:rFonts w:hint="eastAsia"/>
        </w:rPr>
        <w:t>长期性能观测点</w:t>
      </w:r>
      <w:r>
        <w:rPr>
          <w:rFonts w:hint="eastAsia"/>
          <w:lang w:eastAsia="zh-CN"/>
        </w:rPr>
        <w:t>”</w:t>
      </w:r>
      <w:r>
        <w:rPr>
          <w:rFonts w:hint="eastAsia"/>
        </w:rPr>
        <w:t>）的</w:t>
      </w:r>
      <w:r>
        <w:rPr>
          <w:rFonts w:hint="eastAsia"/>
          <w:lang w:val="en-US" w:eastAsia="zh-CN"/>
        </w:rPr>
        <w:t>总体</w:t>
      </w:r>
      <w:r>
        <w:rPr>
          <w:rFonts w:hint="eastAsia"/>
        </w:rPr>
        <w:t>要求、观测点建设布局和方案、桥梁</w:t>
      </w:r>
      <w:r>
        <w:rPr>
          <w:rFonts w:hint="eastAsia"/>
          <w:lang w:val="en-US" w:eastAsia="zh-CN"/>
        </w:rPr>
        <w:t>结构</w:t>
      </w:r>
      <w:r>
        <w:rPr>
          <w:rFonts w:hint="eastAsia"/>
        </w:rPr>
        <w:t>观测点建设、隧道结构观测点建设、数据采集和传输系统安装、数据中心建设</w:t>
      </w:r>
      <w:r>
        <w:rPr>
          <w:rFonts w:hint="eastAsia"/>
          <w:lang w:eastAsia="zh-CN"/>
        </w:rPr>
        <w:t>、</w:t>
      </w:r>
      <w:r>
        <w:rPr>
          <w:rFonts w:hint="eastAsia"/>
        </w:rPr>
        <w:t>验收与维护</w:t>
      </w:r>
      <w:r>
        <w:rPr>
          <w:rFonts w:hint="eastAsia"/>
          <w:lang w:val="en-US" w:eastAsia="zh-CN"/>
        </w:rPr>
        <w:t>等要求，描述了对应的检验与证实方法</w:t>
      </w:r>
      <w:r>
        <w:rPr>
          <w:rFonts w:hint="eastAsia"/>
        </w:rPr>
        <w:t>。</w:t>
      </w:r>
    </w:p>
    <w:p w14:paraId="14EB64BB">
      <w:pPr>
        <w:pStyle w:val="59"/>
        <w:ind w:firstLine="420" w:firstLineChars="200"/>
      </w:pPr>
      <w:r>
        <w:rPr>
          <w:rFonts w:hint="eastAsia"/>
        </w:rPr>
        <w:t>本文件适用于公路桥梁与隧道结构长期性能科学观测点的建设工作</w:t>
      </w:r>
      <w:r>
        <w:t>。</w:t>
      </w:r>
    </w:p>
    <w:p w14:paraId="25842936">
      <w:pPr>
        <w:pStyle w:val="107"/>
        <w:spacing w:before="312" w:after="312"/>
        <w:rPr>
          <w:rFonts w:ascii="Times New Roman"/>
        </w:rPr>
      </w:pPr>
      <w:bookmarkStart w:id="42" w:name="_Toc82858164"/>
      <w:bookmarkStart w:id="43" w:name="_Toc26986772"/>
      <w:bookmarkStart w:id="44" w:name="_Toc213852408"/>
      <w:bookmarkStart w:id="45" w:name="_Toc26718931"/>
      <w:bookmarkStart w:id="46" w:name="_Toc83210843"/>
      <w:bookmarkStart w:id="47" w:name="_Toc26986531"/>
      <w:bookmarkStart w:id="48" w:name="_Toc22692"/>
      <w:r>
        <w:rPr>
          <w:rFonts w:ascii="Times New Roman"/>
        </w:rPr>
        <w:t>规范性引用文件</w:t>
      </w:r>
      <w:bookmarkEnd w:id="37"/>
      <w:bookmarkEnd w:id="38"/>
      <w:bookmarkEnd w:id="39"/>
      <w:bookmarkEnd w:id="40"/>
      <w:bookmarkEnd w:id="41"/>
      <w:bookmarkEnd w:id="42"/>
      <w:bookmarkEnd w:id="43"/>
      <w:bookmarkEnd w:id="44"/>
      <w:bookmarkEnd w:id="45"/>
      <w:bookmarkEnd w:id="46"/>
      <w:bookmarkEnd w:id="47"/>
      <w:bookmarkEnd w:id="48"/>
    </w:p>
    <w:p w14:paraId="26CC0EC1">
      <w:pPr>
        <w:pStyle w:val="59"/>
        <w:ind w:firstLine="420" w:firstLineChars="200"/>
      </w:pPr>
      <w:r>
        <w:rPr>
          <w:rFonts w:hint="eastAsia"/>
        </w:rPr>
        <w:t>下列文件中的内容通过文中的规范性引用而构成本文件必不</w:t>
      </w:r>
      <w:r>
        <w:rPr>
          <w:rFonts w:hint="eastAsia"/>
          <w:highlight w:val="none"/>
          <w:shd w:val="clear"/>
        </w:rPr>
        <w:t>可少的条款。其中，注日期的引用文件，</w:t>
      </w:r>
      <w:r>
        <w:rPr>
          <w:rFonts w:hint="eastAsia"/>
        </w:rPr>
        <w:t>仅该日期对应的版本适用于本文件；不注日期的引用文件，其最新版本（包括所有的修改单）适用于本文件。</w:t>
      </w:r>
      <w:bookmarkStart w:id="49" w:name="_Hlk145510783"/>
    </w:p>
    <w:p w14:paraId="7D5EC1E0">
      <w:pPr>
        <w:pStyle w:val="59"/>
        <w:ind w:firstLine="420" w:firstLineChars="200"/>
      </w:pPr>
      <w:r>
        <w:rPr>
          <w:rFonts w:hint="eastAsia"/>
        </w:rPr>
        <w:t>GB/T 22239 信息安全技术 网络安全等级保护基本要求</w:t>
      </w:r>
    </w:p>
    <w:p w14:paraId="37409E52">
      <w:pPr>
        <w:pStyle w:val="59"/>
        <w:ind w:firstLine="420" w:firstLineChars="200"/>
      </w:pPr>
      <w:r>
        <w:rPr>
          <w:rFonts w:hint="eastAsia"/>
        </w:rPr>
        <w:t>GB 50174 数据中心设计规范</w:t>
      </w:r>
    </w:p>
    <w:p w14:paraId="450671A7">
      <w:pPr>
        <w:pStyle w:val="59"/>
        <w:ind w:firstLine="420" w:firstLineChars="200"/>
      </w:pPr>
      <w:r>
        <w:rPr>
          <w:rFonts w:hint="eastAsia"/>
        </w:rPr>
        <w:t>JTG 5120 公路桥涵养护规范</w:t>
      </w:r>
    </w:p>
    <w:p w14:paraId="2342E08C">
      <w:pPr>
        <w:pStyle w:val="59"/>
        <w:ind w:firstLine="420" w:firstLineChars="200"/>
      </w:pPr>
      <w:r>
        <w:rPr>
          <w:rFonts w:hint="eastAsia"/>
        </w:rPr>
        <w:t>JTG H12 公路隧道养护技术规范</w:t>
      </w:r>
    </w:p>
    <w:p w14:paraId="57AD1C45">
      <w:pPr>
        <w:pStyle w:val="59"/>
        <w:ind w:firstLine="420" w:firstLineChars="200"/>
      </w:pPr>
      <w:r>
        <w:rPr>
          <w:rFonts w:hint="eastAsia"/>
        </w:rPr>
        <w:t>JT/T 1037 公路桥梁结构监测技术规范</w:t>
      </w:r>
    </w:p>
    <w:p w14:paraId="272272DC">
      <w:pPr>
        <w:pStyle w:val="59"/>
        <w:ind w:firstLine="420" w:firstLineChars="200"/>
      </w:pPr>
      <w:r>
        <w:rPr>
          <w:rFonts w:hint="eastAsia"/>
        </w:rPr>
        <w:t>JT/T 1504.1 公路基础设施长期性能科学观测网 第一部分：建设规范</w:t>
      </w:r>
    </w:p>
    <w:bookmarkEnd w:id="49"/>
    <w:p w14:paraId="6F9D3C0F">
      <w:pPr>
        <w:pStyle w:val="107"/>
        <w:spacing w:before="312" w:after="312"/>
        <w:rPr>
          <w:rFonts w:ascii="Times New Roman"/>
          <w:szCs w:val="21"/>
        </w:rPr>
      </w:pPr>
      <w:bookmarkStart w:id="50" w:name="_Toc83210844"/>
      <w:bookmarkStart w:id="51" w:name="_Toc213852417"/>
      <w:bookmarkStart w:id="52" w:name="_Toc82858165"/>
      <w:bookmarkStart w:id="53" w:name="_Toc4004"/>
      <w:r>
        <w:rPr>
          <w:rFonts w:ascii="Times New Roman"/>
          <w:szCs w:val="21"/>
        </w:rPr>
        <w:t>术语和定义</w:t>
      </w:r>
      <w:bookmarkEnd w:id="50"/>
      <w:bookmarkEnd w:id="51"/>
      <w:bookmarkEnd w:id="52"/>
      <w:bookmarkEnd w:id="53"/>
    </w:p>
    <w:p w14:paraId="7E15F8FE">
      <w:pPr>
        <w:pStyle w:val="59"/>
        <w:ind w:firstLine="420" w:firstLineChars="200"/>
      </w:pPr>
      <w:r>
        <w:rPr>
          <w:rFonts w:hint="eastAsia"/>
        </w:rPr>
        <w:t>下列术语和定义适用于本文件。</w:t>
      </w:r>
    </w:p>
    <w:p w14:paraId="2BFE17B2">
      <w:pPr>
        <w:pStyle w:val="226"/>
        <w:rPr>
          <w:rFonts w:ascii="Times New Roman"/>
        </w:rPr>
      </w:pPr>
      <w:bookmarkStart w:id="54" w:name="_Toc26986532"/>
      <w:bookmarkEnd w:id="54"/>
    </w:p>
    <w:p w14:paraId="4DDFBF09">
      <w:pPr>
        <w:pStyle w:val="226"/>
        <w:numPr>
          <w:ilvl w:val="0"/>
          <w:numId w:val="0"/>
        </w:numPr>
        <w:ind w:firstLine="420" w:firstLineChars="200"/>
        <w:rPr>
          <w:rFonts w:ascii="Times New Roman" w:eastAsia="黑体"/>
        </w:rPr>
      </w:pPr>
      <w:r>
        <w:rPr>
          <w:rFonts w:hint="eastAsia" w:ascii="Times New Roman" w:eastAsia="黑体"/>
          <w:b w:val="0"/>
          <w:bCs w:val="0"/>
        </w:rPr>
        <w:t>长期性能科学观测点</w:t>
      </w:r>
      <w:r>
        <w:rPr>
          <w:rFonts w:hint="eastAsia" w:ascii="Times New Roman" w:eastAsia="黑体"/>
          <w:b/>
          <w:bCs/>
        </w:rPr>
        <w:t xml:space="preserve"> </w:t>
      </w:r>
      <w:r>
        <w:rPr>
          <w:rFonts w:hint="eastAsia" w:ascii="Times New Roman" w:eastAsia="黑体"/>
        </w:rPr>
        <w:t xml:space="preserve">scientific observation </w:t>
      </w:r>
      <w:r>
        <w:rPr>
          <w:rFonts w:hint="eastAsia" w:ascii="Times New Roman" w:eastAsia="黑体"/>
          <w:lang w:val="en-US" w:eastAsia="zh-CN"/>
        </w:rPr>
        <w:t>stations</w:t>
      </w:r>
      <w:r>
        <w:rPr>
          <w:rFonts w:hint="eastAsia" w:ascii="Times New Roman" w:eastAsia="黑体"/>
        </w:rPr>
        <w:t xml:space="preserve"> for long-term performance</w:t>
      </w:r>
    </w:p>
    <w:p w14:paraId="1BB09F07">
      <w:pPr>
        <w:pStyle w:val="226"/>
        <w:numPr>
          <w:ilvl w:val="0"/>
          <w:numId w:val="0"/>
        </w:numPr>
        <w:ind w:firstLine="420" w:firstLineChars="200"/>
        <w:rPr>
          <w:rFonts w:ascii="Times New Roman"/>
          <w:highlight w:val="none"/>
        </w:rPr>
      </w:pPr>
      <w:r>
        <w:rPr>
          <w:rFonts w:hint="eastAsia"/>
        </w:rPr>
        <w:t>针对公路桥梁或隧道结构设立的，通过布设传感系统、数据采集与传</w:t>
      </w:r>
      <w:r>
        <w:rPr>
          <w:rFonts w:hint="eastAsia"/>
          <w:highlight w:val="none"/>
        </w:rPr>
        <w:t>输系统、数据中心及配套设施，并辅以人工观测，能长期、连续获取其环境、荷载、响应及性能</w:t>
      </w:r>
      <w:r>
        <w:rPr>
          <w:rFonts w:hint="eastAsia"/>
          <w:highlight w:val="none"/>
          <w:lang w:val="en-US" w:eastAsia="zh-CN"/>
        </w:rPr>
        <w:t>变化</w:t>
      </w:r>
      <w:r>
        <w:rPr>
          <w:rFonts w:hint="eastAsia"/>
          <w:highlight w:val="none"/>
        </w:rPr>
        <w:t>数据的站点。</w:t>
      </w:r>
    </w:p>
    <w:p w14:paraId="61D19274">
      <w:pPr>
        <w:pStyle w:val="226"/>
        <w:rPr>
          <w:rFonts w:ascii="Times New Roman"/>
        </w:rPr>
      </w:pPr>
    </w:p>
    <w:p w14:paraId="3FEC4DD9">
      <w:pPr>
        <w:pStyle w:val="226"/>
        <w:numPr>
          <w:ilvl w:val="0"/>
          <w:numId w:val="0"/>
        </w:numPr>
        <w:ind w:firstLine="420" w:firstLineChars="200"/>
        <w:rPr>
          <w:rFonts w:ascii="Times New Roman"/>
          <w:b/>
          <w:bCs/>
        </w:rPr>
      </w:pPr>
      <w:r>
        <w:rPr>
          <w:rFonts w:hint="eastAsia" w:ascii="Times New Roman" w:eastAsia="黑体"/>
          <w:b w:val="0"/>
          <w:bCs w:val="0"/>
        </w:rPr>
        <w:t>观测对象</w:t>
      </w:r>
      <w:r>
        <w:rPr>
          <w:rFonts w:hint="eastAsia" w:ascii="Times New Roman" w:eastAsia="黑体"/>
          <w:b/>
          <w:bCs/>
        </w:rPr>
        <w:t xml:space="preserve"> </w:t>
      </w:r>
      <w:r>
        <w:rPr>
          <w:rFonts w:hint="eastAsia" w:ascii="Times New Roman" w:eastAsia="黑体"/>
        </w:rPr>
        <w:t>observation target</w:t>
      </w:r>
    </w:p>
    <w:p w14:paraId="67735246">
      <w:pPr>
        <w:pStyle w:val="226"/>
        <w:numPr>
          <w:ilvl w:val="0"/>
          <w:numId w:val="0"/>
        </w:numPr>
        <w:ind w:firstLine="420" w:firstLineChars="200"/>
        <w:rPr>
          <w:rFonts w:ascii="Times New Roman"/>
        </w:rPr>
      </w:pPr>
      <w:r>
        <w:rPr>
          <w:rFonts w:hint="eastAsia" w:ascii="Times New Roman"/>
        </w:rPr>
        <w:t>作为长期性能观测载体的具体桥梁或隧道工程实体。</w:t>
      </w:r>
    </w:p>
    <w:p w14:paraId="4E283C78">
      <w:pPr>
        <w:pStyle w:val="226"/>
        <w:rPr>
          <w:rFonts w:ascii="Times New Roman"/>
        </w:rPr>
      </w:pPr>
    </w:p>
    <w:p w14:paraId="78A496CA">
      <w:pPr>
        <w:pStyle w:val="226"/>
        <w:numPr>
          <w:ilvl w:val="0"/>
          <w:numId w:val="0"/>
        </w:numPr>
        <w:ind w:firstLine="420" w:firstLineChars="200"/>
        <w:rPr>
          <w:rFonts w:ascii="Times New Roman" w:eastAsia="黑体"/>
          <w:b/>
          <w:bCs/>
        </w:rPr>
      </w:pPr>
      <w:r>
        <w:rPr>
          <w:rFonts w:hint="eastAsia" w:ascii="Times New Roman" w:eastAsia="黑体"/>
          <w:b w:val="0"/>
          <w:bCs w:val="0"/>
        </w:rPr>
        <w:t>数据中心</w:t>
      </w:r>
      <w:r>
        <w:rPr>
          <w:rFonts w:hint="eastAsia" w:ascii="Times New Roman" w:eastAsia="黑体"/>
          <w:b/>
          <w:bCs/>
        </w:rPr>
        <w:t xml:space="preserve"> </w:t>
      </w:r>
      <w:r>
        <w:rPr>
          <w:rFonts w:ascii="Times New Roman" w:eastAsia="黑体"/>
        </w:rPr>
        <w:t>data center</w:t>
      </w:r>
    </w:p>
    <w:p w14:paraId="5D39C35C">
      <w:pPr>
        <w:pStyle w:val="226"/>
        <w:numPr>
          <w:ilvl w:val="0"/>
          <w:numId w:val="0"/>
        </w:numPr>
        <w:ind w:firstLine="420" w:firstLineChars="200"/>
        <w:rPr>
          <w:rFonts w:ascii="Times New Roman" w:eastAsia="黑体"/>
          <w:b/>
          <w:bCs/>
        </w:rPr>
      </w:pPr>
      <w:r>
        <w:rPr>
          <w:rFonts w:hint="eastAsia" w:ascii="Times New Roman"/>
        </w:rPr>
        <w:t>用于汇集、存储、管理、处理及共享长期性能科学观测点采集数据的物理场所及其配套设施，包括机房建筑、供配电系统、制冷与通风系统、消防与安防系统、服务器与存储设备、网络与通信设备、基础软件及数据管理平台等。</w:t>
      </w:r>
    </w:p>
    <w:p w14:paraId="0C08838E">
      <w:pPr>
        <w:pStyle w:val="107"/>
        <w:spacing w:before="312" w:after="312"/>
        <w:rPr>
          <w:rFonts w:ascii="Times New Roman"/>
        </w:rPr>
      </w:pPr>
      <w:bookmarkStart w:id="55" w:name="_Toc25999"/>
      <w:bookmarkStart w:id="56" w:name="_Toc213852418"/>
      <w:r>
        <w:rPr>
          <w:rFonts w:hint="eastAsia" w:ascii="Times New Roman"/>
        </w:rPr>
        <w:t>总体要求</w:t>
      </w:r>
      <w:bookmarkEnd w:id="55"/>
    </w:p>
    <w:p w14:paraId="3F248E80">
      <w:pPr>
        <w:pStyle w:val="108"/>
        <w:spacing w:before="156" w:after="156"/>
        <w:rPr>
          <w:rFonts w:hint="default" w:ascii="Times New Roman" w:eastAsia="宋体"/>
          <w:lang w:val="en-US" w:eastAsia="zh-CN"/>
        </w:rPr>
      </w:pPr>
      <w:r>
        <w:rPr>
          <w:rFonts w:hint="eastAsia" w:ascii="Times New Roman" w:eastAsia="宋体"/>
          <w:lang w:val="en-US" w:eastAsia="zh-CN"/>
        </w:rPr>
        <w:t>长期性能观测点</w:t>
      </w:r>
      <w:r>
        <w:rPr>
          <w:rFonts w:hint="default" w:ascii="Times New Roman" w:eastAsia="宋体"/>
          <w:lang w:val="en-US" w:eastAsia="zh-CN"/>
        </w:rPr>
        <w:t>的建设应以揭示结构在运营环境下的长期性能演化规律、评估结构服役安全性与耐久性为目标，为桥梁与隧道结构的设计验证、养护决策及标准修订提供科学依据</w:t>
      </w:r>
      <w:r>
        <w:rPr>
          <w:rFonts w:hint="eastAsia" w:ascii="Times New Roman" w:eastAsia="宋体"/>
          <w:lang w:val="en-US" w:eastAsia="zh-CN"/>
        </w:rPr>
        <w:t>。</w:t>
      </w:r>
    </w:p>
    <w:p w14:paraId="3DAB9DFA">
      <w:pPr>
        <w:pStyle w:val="108"/>
        <w:spacing w:before="156" w:after="156"/>
        <w:rPr>
          <w:rFonts w:ascii="Times New Roman" w:eastAsia="宋体"/>
        </w:rPr>
      </w:pPr>
      <w:bookmarkStart w:id="57" w:name="_Toc13864"/>
      <w:bookmarkStart w:id="58" w:name="_Toc22331"/>
      <w:bookmarkStart w:id="59" w:name="_Toc31285"/>
      <w:r>
        <w:rPr>
          <w:rFonts w:hint="eastAsia" w:ascii="Times New Roman" w:eastAsia="宋体"/>
        </w:rPr>
        <w:t>传感器的选型与</w:t>
      </w:r>
      <w:r>
        <w:rPr>
          <w:rFonts w:hint="eastAsia" w:ascii="Times New Roman" w:eastAsia="宋体"/>
          <w:lang w:val="en-US" w:eastAsia="zh-CN"/>
        </w:rPr>
        <w:t>安装</w:t>
      </w:r>
      <w:r>
        <w:rPr>
          <w:rFonts w:hint="eastAsia" w:ascii="Times New Roman" w:eastAsia="宋体"/>
        </w:rPr>
        <w:t>应满足以下要求：</w:t>
      </w:r>
      <w:bookmarkEnd w:id="57"/>
      <w:bookmarkEnd w:id="58"/>
      <w:bookmarkEnd w:id="59"/>
    </w:p>
    <w:p w14:paraId="7BD84CEB">
      <w:pPr>
        <w:pStyle w:val="168"/>
        <w:numPr>
          <w:ilvl w:val="0"/>
          <w:numId w:val="32"/>
        </w:numPr>
        <w:ind w:left="420"/>
      </w:pPr>
      <w:r>
        <w:rPr>
          <w:rFonts w:hint="eastAsia"/>
        </w:rPr>
        <w:t>满足预设观测项目的精度、量程、分辨率和采样频率要求；</w:t>
      </w:r>
    </w:p>
    <w:p w14:paraId="340BD00E">
      <w:pPr>
        <w:pStyle w:val="168"/>
        <w:numPr>
          <w:ilvl w:val="0"/>
          <w:numId w:val="32"/>
        </w:numPr>
        <w:ind w:left="420"/>
      </w:pPr>
      <w:r>
        <w:rPr>
          <w:rFonts w:hint="eastAsia"/>
        </w:rPr>
        <w:t>具备良好的长期稳定性、耐久性和环境适应性，其设计使用寿命宜与观测期相匹配；</w:t>
      </w:r>
    </w:p>
    <w:p w14:paraId="44396627">
      <w:pPr>
        <w:pStyle w:val="168"/>
        <w:numPr>
          <w:ilvl w:val="0"/>
          <w:numId w:val="32"/>
        </w:numPr>
        <w:ind w:left="420"/>
      </w:pPr>
      <w:r>
        <w:rPr>
          <w:rFonts w:hint="eastAsia"/>
        </w:rPr>
        <w:t>传感器安装应采用机械固定或化学锚固等方式，确保在车辆振动、风载、温度变化等长期荷载作用下不松动、不脱落，安装工艺不得影响主体结构的安全与正常使用，并应做好防水、防腐蚀、防雷击</w:t>
      </w:r>
      <w:r>
        <w:rPr>
          <w:rFonts w:hint="eastAsia"/>
          <w:lang w:eastAsia="zh-CN"/>
        </w:rPr>
        <w:t>、</w:t>
      </w:r>
      <w:r>
        <w:rPr>
          <w:rFonts w:hint="eastAsia"/>
        </w:rPr>
        <w:t>防机械损伤</w:t>
      </w:r>
      <w:r>
        <w:rPr>
          <w:rFonts w:hint="eastAsia"/>
          <w:lang w:eastAsia="zh-CN"/>
        </w:rPr>
        <w:t>、</w:t>
      </w:r>
      <w:r>
        <w:rPr>
          <w:rFonts w:hint="eastAsia"/>
        </w:rPr>
        <w:t>防鼠咬等防护措施，便于维护和检定。</w:t>
      </w:r>
    </w:p>
    <w:p w14:paraId="6910C16E">
      <w:pPr>
        <w:pStyle w:val="108"/>
        <w:spacing w:before="156" w:after="156"/>
        <w:rPr>
          <w:rFonts w:ascii="Times New Roman" w:eastAsia="宋体"/>
        </w:rPr>
      </w:pPr>
      <w:bookmarkStart w:id="60" w:name="_Toc10241"/>
      <w:bookmarkStart w:id="61" w:name="_Toc30650"/>
      <w:bookmarkStart w:id="62" w:name="_Toc15350"/>
      <w:r>
        <w:rPr>
          <w:rFonts w:ascii="Times New Roman" w:eastAsia="宋体"/>
        </w:rPr>
        <w:t>对于运营期内可更换、可维护的传感器，</w:t>
      </w:r>
      <w:r>
        <w:rPr>
          <w:rFonts w:hint="eastAsia" w:ascii="Times New Roman" w:eastAsia="宋体"/>
          <w:lang w:val="en-US" w:eastAsia="zh-CN"/>
        </w:rPr>
        <w:t>在观测期内</w:t>
      </w:r>
      <w:r>
        <w:rPr>
          <w:rFonts w:hint="eastAsia" w:ascii="Times New Roman" w:eastAsia="宋体"/>
        </w:rPr>
        <w:t>其</w:t>
      </w:r>
      <w:r>
        <w:rPr>
          <w:rFonts w:ascii="Times New Roman" w:eastAsia="宋体"/>
        </w:rPr>
        <w:t>完好率</w:t>
      </w:r>
      <w:r>
        <w:rPr>
          <w:rFonts w:hint="eastAsia" w:ascii="Times New Roman" w:eastAsia="宋体"/>
          <w:lang w:val="en-US" w:eastAsia="zh-CN"/>
        </w:rPr>
        <w:t>宜</w:t>
      </w:r>
      <w:r>
        <w:rPr>
          <w:rFonts w:ascii="Times New Roman" w:eastAsia="宋体"/>
        </w:rPr>
        <w:t>不低于95%</w:t>
      </w:r>
      <w:r>
        <w:rPr>
          <w:rFonts w:hint="eastAsia" w:ascii="Times New Roman" w:eastAsia="宋体"/>
        </w:rPr>
        <w:t>，对于关键参数或测点数量较少的传感器类型</w:t>
      </w:r>
      <w:r>
        <w:rPr>
          <w:rFonts w:hint="eastAsia" w:ascii="Times New Roman" w:eastAsia="宋体"/>
          <w:lang w:val="en-US" w:eastAsia="zh-CN"/>
        </w:rPr>
        <w:t>以及</w:t>
      </w:r>
      <w:r>
        <w:rPr>
          <w:rFonts w:ascii="Times New Roman" w:eastAsia="宋体"/>
        </w:rPr>
        <w:t>不可更换的传感器，应冗余布设。</w:t>
      </w:r>
      <w:bookmarkEnd w:id="60"/>
      <w:bookmarkEnd w:id="61"/>
      <w:bookmarkEnd w:id="62"/>
    </w:p>
    <w:p w14:paraId="42D97BF1">
      <w:pPr>
        <w:pStyle w:val="108"/>
        <w:spacing w:before="156" w:after="156"/>
        <w:rPr>
          <w:rFonts w:hint="eastAsia" w:ascii="宋体" w:hAnsi="宋体" w:eastAsia="宋体" w:cs="宋体"/>
        </w:rPr>
      </w:pPr>
      <w:bookmarkStart w:id="63" w:name="_Toc9829"/>
      <w:bookmarkStart w:id="64" w:name="_Toc27242"/>
      <w:bookmarkStart w:id="65" w:name="_Toc23296"/>
      <w:r>
        <w:rPr>
          <w:rFonts w:hint="eastAsia" w:ascii="宋体" w:hAnsi="宋体" w:eastAsia="宋体" w:cs="宋体"/>
        </w:rPr>
        <w:t>自动观测设备应采用北斗卫星导航系统、局域网节点时间同步或其它高精度时间同步技术，确保所有观测数据时间戳的统一与准确。</w:t>
      </w:r>
      <w:bookmarkEnd w:id="63"/>
      <w:bookmarkEnd w:id="64"/>
      <w:bookmarkEnd w:id="65"/>
    </w:p>
    <w:p w14:paraId="2C74A45E">
      <w:pPr>
        <w:pStyle w:val="108"/>
        <w:spacing w:before="156" w:after="156"/>
        <w:rPr>
          <w:rFonts w:hint="eastAsia" w:ascii="宋体" w:hAnsi="宋体" w:eastAsia="宋体" w:cs="宋体"/>
        </w:rPr>
      </w:pPr>
      <w:bookmarkStart w:id="66" w:name="_Toc6027"/>
      <w:bookmarkStart w:id="67" w:name="_Toc13807"/>
      <w:bookmarkStart w:id="68" w:name="_Toc8785"/>
      <w:r>
        <w:rPr>
          <w:rFonts w:hint="eastAsia" w:ascii="宋体" w:hAnsi="宋体" w:eastAsia="宋体" w:cs="宋体"/>
        </w:rPr>
        <w:t>数据采集与传输系统应具备远程监控、配置、诊断和故障报警功能，保证数据的连续性和完整性。</w:t>
      </w:r>
      <w:bookmarkEnd w:id="66"/>
      <w:bookmarkEnd w:id="67"/>
      <w:r>
        <w:rPr>
          <w:rFonts w:hint="eastAsia" w:ascii="宋体" w:hAnsi="宋体" w:eastAsia="宋体" w:cs="宋体"/>
        </w:rPr>
        <w:t>观测数据质量控制应遵循全流程管控、全周期溯源、标准化规范、安全合规的总体原则，保障数据真实准确、连续完整、规范可比、全程可溯。</w:t>
      </w:r>
      <w:bookmarkEnd w:id="68"/>
    </w:p>
    <w:p w14:paraId="11D27F7F">
      <w:pPr>
        <w:pStyle w:val="108"/>
        <w:spacing w:before="156" w:after="156"/>
        <w:rPr>
          <w:rFonts w:hint="eastAsia" w:ascii="宋体" w:hAnsi="宋体" w:eastAsia="宋体" w:cs="宋体"/>
        </w:rPr>
      </w:pPr>
      <w:bookmarkStart w:id="69" w:name="_Toc5024"/>
      <w:bookmarkStart w:id="70" w:name="_Toc325"/>
      <w:bookmarkStart w:id="71" w:name="_Toc25925"/>
      <w:r>
        <w:rPr>
          <w:rFonts w:hint="eastAsia" w:ascii="宋体" w:hAnsi="宋体" w:eastAsia="宋体" w:cs="宋体"/>
        </w:rPr>
        <w:t>对采空区、高烈度地震区、特殊地质路段、腐蚀环境或存在已知特殊病害的桥梁与隧道结构，应根据其特定的风险源与性能退化模式，制定专项观测方案，关键参数及测点布设位置</w:t>
      </w:r>
      <w:r>
        <w:rPr>
          <w:rFonts w:hint="eastAsia" w:ascii="宋体" w:hAnsi="宋体" w:eastAsia="宋体" w:cs="宋体"/>
          <w:lang w:eastAsia="zh-CN"/>
        </w:rPr>
        <w:t>，</w:t>
      </w:r>
      <w:r>
        <w:rPr>
          <w:rFonts w:hint="eastAsia" w:ascii="宋体" w:hAnsi="宋体" w:eastAsia="宋体" w:cs="宋体"/>
        </w:rPr>
        <w:t>选择适宜的观测仪器设备</w:t>
      </w:r>
      <w:r>
        <w:rPr>
          <w:rFonts w:hint="eastAsia" w:ascii="宋体" w:hAnsi="宋体" w:eastAsia="宋体" w:cs="宋体"/>
          <w:lang w:eastAsia="zh-CN"/>
        </w:rPr>
        <w:t>，</w:t>
      </w:r>
      <w:r>
        <w:rPr>
          <w:rFonts w:hint="eastAsia" w:ascii="宋体" w:hAnsi="宋体" w:eastAsia="宋体" w:cs="宋体"/>
          <w:lang w:val="en-US" w:eastAsia="zh-CN"/>
        </w:rPr>
        <w:t>观测项目应涵盖环境作用、荷载作用、结构响应与性能退化等类别</w:t>
      </w:r>
      <w:r>
        <w:rPr>
          <w:rFonts w:hint="eastAsia" w:ascii="宋体" w:hAnsi="宋体" w:eastAsia="宋体" w:cs="宋体"/>
        </w:rPr>
        <w:t>。</w:t>
      </w:r>
      <w:bookmarkEnd w:id="69"/>
      <w:bookmarkEnd w:id="70"/>
      <w:bookmarkEnd w:id="71"/>
    </w:p>
    <w:p w14:paraId="5371DA57">
      <w:pPr>
        <w:pStyle w:val="108"/>
        <w:spacing w:before="156" w:after="156"/>
        <w:rPr>
          <w:rFonts w:hint="eastAsia" w:ascii="宋体" w:hAnsi="宋体" w:eastAsia="宋体" w:cs="宋体"/>
        </w:rPr>
      </w:pPr>
      <w:bookmarkStart w:id="72" w:name="_Toc30927"/>
      <w:bookmarkStart w:id="73" w:name="_Toc17975"/>
      <w:bookmarkStart w:id="74" w:name="_Toc32542"/>
      <w:r>
        <w:rPr>
          <w:rFonts w:hint="eastAsia" w:ascii="宋体" w:hAnsi="宋体" w:eastAsia="宋体" w:cs="宋体"/>
        </w:rPr>
        <w:t>长期性能观测点的建设方案应充分考虑对既有交通运营的影响，制定安全的施工与安装组织方案，并采取必要的防护措施。</w:t>
      </w:r>
      <w:bookmarkEnd w:id="72"/>
      <w:bookmarkEnd w:id="73"/>
      <w:bookmarkEnd w:id="74"/>
    </w:p>
    <w:p w14:paraId="51D22614">
      <w:pPr>
        <w:pStyle w:val="108"/>
        <w:spacing w:before="156" w:after="156"/>
        <w:rPr>
          <w:rFonts w:hint="eastAsia" w:ascii="宋体" w:hAnsi="宋体" w:eastAsia="宋体" w:cs="宋体"/>
        </w:rPr>
      </w:pPr>
      <w:bookmarkStart w:id="75" w:name="_Toc24933"/>
      <w:bookmarkStart w:id="76" w:name="_Toc4207"/>
      <w:r>
        <w:rPr>
          <w:rFonts w:hint="eastAsia" w:ascii="宋体" w:hAnsi="宋体" w:eastAsia="宋体" w:cs="宋体"/>
        </w:rPr>
        <w:t>传感器的安装不得损害主体结构，安装后应对传感器及系统进行联合调试与校准，确保其处于正常工作状态。</w:t>
      </w:r>
      <w:bookmarkEnd w:id="75"/>
      <w:bookmarkEnd w:id="76"/>
    </w:p>
    <w:p w14:paraId="63785219">
      <w:pPr>
        <w:pStyle w:val="108"/>
        <w:spacing w:before="156" w:after="156"/>
        <w:rPr>
          <w:rFonts w:hint="eastAsia" w:ascii="宋体" w:hAnsi="宋体" w:eastAsia="宋体" w:cs="宋体"/>
        </w:rPr>
      </w:pPr>
      <w:bookmarkStart w:id="77" w:name="_Toc25422"/>
      <w:r>
        <w:rPr>
          <w:rFonts w:hint="eastAsia" w:ascii="宋体" w:hAnsi="宋体" w:eastAsia="宋体" w:cs="宋体"/>
        </w:rPr>
        <w:t>长期性能观测点的建设应贯彻全寿命周期成本理念，观测方案的设计应具备良好的可维护性、可扩展性和向后兼容性，关键部件宜采用模块化设计，便于故障快速定位与替换，降低全寿命周期运营成本。</w:t>
      </w:r>
      <w:bookmarkEnd w:id="77"/>
    </w:p>
    <w:p w14:paraId="6265E000">
      <w:pPr>
        <w:pStyle w:val="108"/>
        <w:spacing w:before="156" w:after="156"/>
        <w:rPr>
          <w:rFonts w:hint="eastAsia" w:ascii="宋体" w:hAnsi="宋体" w:eastAsia="宋体" w:cs="宋体"/>
        </w:rPr>
      </w:pPr>
      <w:bookmarkStart w:id="78" w:name="_Toc31431"/>
      <w:r>
        <w:rPr>
          <w:rFonts w:hint="eastAsia" w:ascii="宋体" w:hAnsi="宋体" w:eastAsia="宋体" w:cs="宋体"/>
        </w:rPr>
        <w:t>数据采集与传输系统在保证数据连续性和完整性的同时，应建立数据质量评估与标识机制，关键数据应建立人工复核或抽检制度，确保用于分析决策的数据真实、有效</w:t>
      </w:r>
      <w:r>
        <w:rPr>
          <w:rFonts w:hint="eastAsia" w:ascii="宋体" w:hAnsi="宋体" w:eastAsia="宋体" w:cs="宋体"/>
          <w:lang w:eastAsia="zh-CN"/>
        </w:rPr>
        <w:t>。</w:t>
      </w:r>
      <w:bookmarkEnd w:id="78"/>
    </w:p>
    <w:p w14:paraId="060BAB61">
      <w:pPr>
        <w:pStyle w:val="107"/>
        <w:spacing w:before="312" w:after="312"/>
        <w:rPr>
          <w:rFonts w:ascii="Times New Roman"/>
        </w:rPr>
      </w:pPr>
      <w:bookmarkStart w:id="79" w:name="_Toc21688"/>
      <w:r>
        <w:rPr>
          <w:rFonts w:ascii="Times New Roman"/>
        </w:rPr>
        <w:t>建设</w:t>
      </w:r>
      <w:bookmarkEnd w:id="56"/>
      <w:r>
        <w:rPr>
          <w:rFonts w:hint="eastAsia" w:ascii="Times New Roman"/>
        </w:rPr>
        <w:t>布局和方案</w:t>
      </w:r>
      <w:bookmarkEnd w:id="79"/>
    </w:p>
    <w:p w14:paraId="08BA611D">
      <w:pPr>
        <w:pStyle w:val="108"/>
        <w:spacing w:before="156" w:after="156"/>
        <w:rPr>
          <w:rFonts w:ascii="Times New Roman"/>
        </w:rPr>
      </w:pPr>
      <w:bookmarkStart w:id="80" w:name="_Toc9472"/>
      <w:bookmarkStart w:id="81" w:name="_Toc213852419"/>
      <w:r>
        <w:rPr>
          <w:rFonts w:ascii="Times New Roman"/>
        </w:rPr>
        <w:t>建设</w:t>
      </w:r>
      <w:r>
        <w:rPr>
          <w:rFonts w:hint="eastAsia" w:ascii="Times New Roman"/>
        </w:rPr>
        <w:t>布局</w:t>
      </w:r>
      <w:bookmarkEnd w:id="80"/>
      <w:bookmarkEnd w:id="81"/>
    </w:p>
    <w:p w14:paraId="712C43D7">
      <w:pPr>
        <w:pStyle w:val="168"/>
      </w:pPr>
      <w:r>
        <w:rPr>
          <w:rFonts w:hint="eastAsia"/>
        </w:rPr>
        <w:t>长期性能观测点应按照区域典型的气候环境、工程地质条件、结构类型、施工工艺、荷载类型、病害特征、灾害风险等进行布局和设置。</w:t>
      </w:r>
    </w:p>
    <w:p w14:paraId="4A3372AF">
      <w:pPr>
        <w:pStyle w:val="168"/>
      </w:pPr>
      <w:r>
        <w:rPr>
          <w:rFonts w:hint="eastAsia"/>
        </w:rPr>
        <w:t>长期性能观测点的布局应与路域内</w:t>
      </w:r>
      <w:r>
        <w:rPr>
          <w:rFonts w:hint="eastAsia"/>
          <w:lang w:val="en-US" w:eastAsia="zh-CN"/>
        </w:rPr>
        <w:t>已建或规划的</w:t>
      </w:r>
      <w:r>
        <w:rPr>
          <w:rFonts w:hint="eastAsia"/>
        </w:rPr>
        <w:t>其他基础设施长期性能观测点以及沿线公路既有交通量监测点、路网监测设施点等统筹</w:t>
      </w:r>
      <w:r>
        <w:rPr>
          <w:rFonts w:hint="eastAsia"/>
          <w:lang w:val="en-US" w:eastAsia="zh-CN"/>
        </w:rPr>
        <w:t>协调</w:t>
      </w:r>
      <w:r>
        <w:rPr>
          <w:rFonts w:hint="eastAsia"/>
          <w:lang w:eastAsia="zh-CN"/>
        </w:rPr>
        <w:t>，新建观测点的数据接口、传输协议及元数据标准，应与既有监测系统兼容或制定明确的转换方案，确保实现跨系统、跨层级的数据共享与业务协同</w:t>
      </w:r>
      <w:r>
        <w:rPr>
          <w:rFonts w:hint="eastAsia"/>
        </w:rPr>
        <w:t>。</w:t>
      </w:r>
    </w:p>
    <w:p w14:paraId="12FF428B">
      <w:pPr>
        <w:pStyle w:val="168"/>
      </w:pPr>
      <w:r>
        <w:rPr>
          <w:rFonts w:hint="eastAsia"/>
        </w:rPr>
        <w:t>长期性能观测点布局应进行专项论证，明确中长期布局目标、站点筛选标准、建设规模与分期实施计划。</w:t>
      </w:r>
    </w:p>
    <w:p w14:paraId="65A87C93">
      <w:pPr>
        <w:pStyle w:val="108"/>
        <w:spacing w:before="156" w:after="156"/>
        <w:rPr>
          <w:rFonts w:ascii="Times New Roman"/>
        </w:rPr>
      </w:pPr>
      <w:bookmarkStart w:id="82" w:name="_Toc213852420"/>
      <w:bookmarkStart w:id="83" w:name="_Toc13883"/>
      <w:r>
        <w:rPr>
          <w:rFonts w:ascii="Times New Roman"/>
        </w:rPr>
        <w:t>建设</w:t>
      </w:r>
      <w:r>
        <w:rPr>
          <w:rFonts w:hint="eastAsia" w:ascii="Times New Roman"/>
        </w:rPr>
        <w:t>方案</w:t>
      </w:r>
      <w:bookmarkEnd w:id="82"/>
      <w:bookmarkEnd w:id="83"/>
    </w:p>
    <w:p w14:paraId="0BC00872">
      <w:pPr>
        <w:pStyle w:val="168"/>
      </w:pPr>
      <w:r>
        <w:rPr>
          <w:rFonts w:hint="eastAsia"/>
        </w:rPr>
        <w:t>长期性能观测点建设方案应明确系统构成、技术指标、实施计划与保障机制。</w:t>
      </w:r>
    </w:p>
    <w:p w14:paraId="6110A640">
      <w:pPr>
        <w:pStyle w:val="168"/>
      </w:pPr>
      <w:r>
        <w:rPr>
          <w:rFonts w:hint="eastAsia"/>
        </w:rPr>
        <w:t>新建工程观测点建设应与主体工程同步设计、同步施工、同步验收，建设方案可根据施工期出现的可能影响长期性能的新因素进行动态优化，并保留优化记录与审批文件。</w:t>
      </w:r>
    </w:p>
    <w:p w14:paraId="56C6BEDD">
      <w:pPr>
        <w:pStyle w:val="168"/>
      </w:pPr>
      <w:r>
        <w:rPr>
          <w:rFonts w:hint="eastAsia"/>
        </w:rPr>
        <w:t>运营期工程应充分评估既有质量缺陷，既要避免偶然缺陷干扰整体规律，也可针对典型质量缺陷设立专项测点，观测其长期劣化演化过程。</w:t>
      </w:r>
    </w:p>
    <w:p w14:paraId="2195076B">
      <w:pPr>
        <w:pStyle w:val="168"/>
      </w:pPr>
      <w:r>
        <w:rPr>
          <w:rFonts w:hint="eastAsia"/>
        </w:rPr>
        <w:t>观测点所有设备、线缆及设施的安装布设不得影响结构安全、</w:t>
      </w:r>
      <w:r>
        <w:rPr>
          <w:rFonts w:hint="eastAsia"/>
          <w:lang w:val="en-US" w:eastAsia="zh-CN"/>
        </w:rPr>
        <w:t>运行安</w:t>
      </w:r>
      <w:r>
        <w:rPr>
          <w:rFonts w:hint="eastAsia"/>
        </w:rPr>
        <w:t>全。现场应设置统一、清晰、耐久的标识牌，其样式、内容与设置要求应符合附录A的规定。</w:t>
      </w:r>
    </w:p>
    <w:p w14:paraId="6D4A5342">
      <w:pPr>
        <w:pStyle w:val="168"/>
      </w:pPr>
      <w:r>
        <w:rPr>
          <w:rFonts w:hint="eastAsia"/>
        </w:rPr>
        <w:t>观测点建设方案应同步制定并明确其长期的运行维护管理制度、数据管理办法以及技术、资金与人员保障机制，确保观测的持续性与有效性。</w:t>
      </w:r>
    </w:p>
    <w:p w14:paraId="5768FE71">
      <w:pPr>
        <w:pStyle w:val="168"/>
      </w:pPr>
      <w:r>
        <w:rPr>
          <w:rFonts w:hint="eastAsia"/>
        </w:rPr>
        <w:t>宜将观测对象的日常巡检、经常检查、定期检查、特殊检查、暴露实验站等人工观测数据以数字化形式接入统一的数据中心，并明确各类人工观测数据的格式、编码规则与入库频率，实现自动化监测数据与人工巡检数据的融合管理</w:t>
      </w:r>
      <w:r>
        <w:rPr>
          <w:rFonts w:hint="eastAsia"/>
          <w:lang w:eastAsia="zh-CN"/>
        </w:rPr>
        <w:t>。</w:t>
      </w:r>
    </w:p>
    <w:p w14:paraId="71F60B71">
      <w:pPr>
        <w:pStyle w:val="107"/>
        <w:spacing w:before="312" w:after="312"/>
        <w:rPr>
          <w:rFonts w:ascii="Times New Roman"/>
        </w:rPr>
      </w:pPr>
      <w:bookmarkStart w:id="84" w:name="_Toc213852421"/>
      <w:bookmarkStart w:id="85" w:name="_Toc20334"/>
      <w:r>
        <w:rPr>
          <w:rFonts w:hint="eastAsia" w:ascii="Times New Roman"/>
        </w:rPr>
        <w:t>桥梁观测点建设</w:t>
      </w:r>
      <w:bookmarkEnd w:id="84"/>
      <w:bookmarkEnd w:id="85"/>
    </w:p>
    <w:p w14:paraId="0721D874">
      <w:pPr>
        <w:pStyle w:val="108"/>
        <w:spacing w:before="156" w:after="156"/>
        <w:rPr>
          <w:rFonts w:ascii="Times New Roman"/>
        </w:rPr>
      </w:pPr>
      <w:r>
        <w:rPr>
          <w:rFonts w:hint="eastAsia" w:ascii="Times New Roman"/>
        </w:rPr>
        <w:t>一般要求</w:t>
      </w:r>
    </w:p>
    <w:p w14:paraId="38798AEB">
      <w:pPr>
        <w:pStyle w:val="168"/>
      </w:pPr>
      <w:r>
        <w:rPr>
          <w:rFonts w:hint="eastAsia"/>
          <w:color w:val="0F1115"/>
          <w:shd w:val="clear" w:color="auto" w:fill="FFFFFF"/>
        </w:rPr>
        <w:t>桥梁长期性能观测点应根据桥梁的结构类型、设计特点、关键构件、易损部位、所处环境及荷载特征，科学选择观测项目，合理配置传感器。</w:t>
      </w:r>
    </w:p>
    <w:p w14:paraId="29D33CBA">
      <w:pPr>
        <w:pStyle w:val="168"/>
      </w:pPr>
      <w:r>
        <w:rPr>
          <w:rFonts w:hint="eastAsia"/>
          <w:color w:val="0F1115"/>
          <w:shd w:val="clear" w:color="auto" w:fill="FFFFFF"/>
        </w:rPr>
        <w:t>观测方案的制定应以揭示结构长期性能演化规律、评估服役安全性与耐久性为目标，重点观测对结构安全、适用性和耐久性起控制作用的物理、力学及环境参数。监测部位</w:t>
      </w:r>
      <w:r>
        <w:rPr>
          <w:rFonts w:hint="eastAsia"/>
          <w:color w:val="0F1115"/>
          <w:shd w:val="clear" w:color="auto" w:fill="FFFFFF"/>
          <w:lang w:val="en-US" w:eastAsia="zh-CN"/>
        </w:rPr>
        <w:t>除支座位移、既有病害或设计文件中指明的关键部位外，还</w:t>
      </w:r>
      <w:r>
        <w:rPr>
          <w:rFonts w:hint="eastAsia"/>
          <w:color w:val="0F1115"/>
          <w:shd w:val="clear" w:color="auto" w:fill="FFFFFF"/>
        </w:rPr>
        <w:t>应根据不同桥型的特点分别确定，包括但不限于：</w:t>
      </w:r>
    </w:p>
    <w:p w14:paraId="1B622BE6">
      <w:pPr>
        <w:pStyle w:val="168"/>
        <w:numPr>
          <w:ilvl w:val="0"/>
          <w:numId w:val="33"/>
        </w:numPr>
        <w:ind w:left="420" w:leftChars="0"/>
      </w:pPr>
      <w:r>
        <w:rPr>
          <w:rFonts w:hint="eastAsia"/>
        </w:rPr>
        <w:t>梁式桥：主梁跨中、支点等控制截面，高墩墩身</w:t>
      </w:r>
      <w:r>
        <w:rPr>
          <w:rFonts w:hint="eastAsia"/>
          <w:lang w:val="en-US" w:eastAsia="zh-CN"/>
        </w:rPr>
        <w:t>等</w:t>
      </w:r>
      <w:r>
        <w:rPr>
          <w:rFonts w:hint="eastAsia"/>
        </w:rPr>
        <w:t>；</w:t>
      </w:r>
    </w:p>
    <w:p w14:paraId="28540269">
      <w:pPr>
        <w:pStyle w:val="168"/>
        <w:numPr>
          <w:ilvl w:val="0"/>
          <w:numId w:val="33"/>
        </w:numPr>
        <w:ind w:left="420" w:leftChars="0" w:firstLine="0" w:firstLineChars="0"/>
      </w:pPr>
      <w:r>
        <w:rPr>
          <w:rFonts w:hint="eastAsia"/>
        </w:rPr>
        <w:t>拱桥：拱顶、拱脚、拱上结构关键节点，系杆，吊杆（索）</w:t>
      </w:r>
      <w:r>
        <w:rPr>
          <w:rFonts w:hint="eastAsia"/>
          <w:lang w:val="en-US" w:eastAsia="zh-CN"/>
        </w:rPr>
        <w:t>等</w:t>
      </w:r>
      <w:r>
        <w:rPr>
          <w:rFonts w:hint="eastAsia"/>
          <w:lang w:eastAsia="zh-CN"/>
        </w:rPr>
        <w:t>；</w:t>
      </w:r>
    </w:p>
    <w:p w14:paraId="6AB3BEF3">
      <w:pPr>
        <w:pStyle w:val="168"/>
        <w:numPr>
          <w:ilvl w:val="0"/>
          <w:numId w:val="33"/>
        </w:numPr>
        <w:ind w:left="420" w:leftChars="0" w:firstLine="0" w:firstLineChars="0"/>
      </w:pPr>
      <w:r>
        <w:rPr>
          <w:rFonts w:hint="eastAsia"/>
        </w:rPr>
        <w:t>斜拉桥与悬索桥：主梁控制截面，索塔塔顶及塔柱关键区段，拉索（吊索）及其锚固区、易腐蚀区，索鞍，主缆锚固区</w:t>
      </w:r>
      <w:r>
        <w:rPr>
          <w:rFonts w:hint="eastAsia"/>
          <w:lang w:val="en-US" w:eastAsia="zh-CN"/>
        </w:rPr>
        <w:t>等</w:t>
      </w:r>
      <w:r>
        <w:rPr>
          <w:rFonts w:hint="eastAsia"/>
          <w:lang w:eastAsia="zh-CN"/>
        </w:rPr>
        <w:t>。</w:t>
      </w:r>
    </w:p>
    <w:bookmarkEnd w:id="20"/>
    <w:p w14:paraId="27CD7FDE">
      <w:pPr>
        <w:pStyle w:val="108"/>
        <w:spacing w:before="156" w:after="156"/>
        <w:rPr>
          <w:rFonts w:ascii="Times New Roman"/>
        </w:rPr>
      </w:pPr>
      <w:bookmarkStart w:id="86" w:name="_Ref193895461"/>
      <w:bookmarkStart w:id="87" w:name="_Toc213852424"/>
      <w:bookmarkStart w:id="88" w:name="_Toc25500"/>
      <w:bookmarkStart w:id="89" w:name="BookMark8"/>
      <w:r>
        <w:rPr>
          <w:rFonts w:hint="eastAsia" w:ascii="Times New Roman"/>
        </w:rPr>
        <w:t>气象站</w:t>
      </w:r>
      <w:bookmarkEnd w:id="86"/>
      <w:bookmarkEnd w:id="87"/>
      <w:bookmarkEnd w:id="88"/>
    </w:p>
    <w:p w14:paraId="11AF2864">
      <w:pPr>
        <w:pStyle w:val="168"/>
      </w:pPr>
      <w:r>
        <w:rPr>
          <w:rFonts w:hint="eastAsia"/>
        </w:rPr>
        <w:t>气象站应能自动、连续观测温度、湿度、风速、风向、降雨量、大气压力、光照度、紫外辐射及总辐射等参数。</w:t>
      </w:r>
    </w:p>
    <w:p w14:paraId="07AD3569">
      <w:pPr>
        <w:pStyle w:val="168"/>
      </w:pPr>
      <w:r>
        <w:rPr>
          <w:rFonts w:hint="eastAsia"/>
        </w:rPr>
        <w:t>气象站宜布设在桥梁附近能代表桥址区整体风场和气候特征的开阔场地，避开局部地形或构造物的干扰，其观测精度与量程应符合JT/T 1504.1的要求。</w:t>
      </w:r>
    </w:p>
    <w:p w14:paraId="1AE6AFA6">
      <w:pPr>
        <w:pStyle w:val="108"/>
        <w:spacing w:before="156" w:after="156"/>
        <w:rPr>
          <w:rFonts w:ascii="Times New Roman"/>
        </w:rPr>
      </w:pPr>
      <w:bookmarkStart w:id="90" w:name="_Toc26750"/>
      <w:bookmarkStart w:id="91" w:name="_Ref193895488"/>
      <w:bookmarkStart w:id="92" w:name="_Toc213852427"/>
      <w:r>
        <w:rPr>
          <w:rFonts w:hint="eastAsia" w:ascii="Times New Roman"/>
        </w:rPr>
        <w:t>结构温湿度传感器</w:t>
      </w:r>
      <w:bookmarkEnd w:id="90"/>
      <w:bookmarkEnd w:id="91"/>
      <w:bookmarkEnd w:id="92"/>
    </w:p>
    <w:p w14:paraId="1EED371E">
      <w:pPr>
        <w:pStyle w:val="168"/>
      </w:pPr>
      <w:r>
        <w:rPr>
          <w:rFonts w:hint="eastAsia"/>
        </w:rPr>
        <w:t>结构温度观测点的布设应能反映桥梁的温度场分布，宜选择1-2个具有代表性的截面重点观测其梯度变化，测点布设应结合结构类型、材料、截面尺寸、日照方向及铺装层情况等综合确定。</w:t>
      </w:r>
    </w:p>
    <w:p w14:paraId="0D683C23">
      <w:pPr>
        <w:pStyle w:val="168"/>
      </w:pPr>
      <w:r>
        <w:rPr>
          <w:rFonts w:hint="eastAsia"/>
        </w:rPr>
        <w:t>混凝土结构宜采用埋入式传感器，钢结构宜将传感器安装在背光侧</w:t>
      </w:r>
      <w:r>
        <w:rPr>
          <w:rFonts w:hint="eastAsia"/>
          <w:lang w:val="en-US" w:eastAsia="zh-CN"/>
        </w:rPr>
        <w:t>或箱梁内部</w:t>
      </w:r>
      <w:r>
        <w:rPr>
          <w:rFonts w:hint="eastAsia"/>
        </w:rPr>
        <w:t>。</w:t>
      </w:r>
    </w:p>
    <w:p w14:paraId="72D7D411">
      <w:pPr>
        <w:pStyle w:val="168"/>
      </w:pPr>
      <w:r>
        <w:rPr>
          <w:rFonts w:hint="eastAsia"/>
        </w:rPr>
        <w:t>结构温度观测数据宜与应变观测的温度补偿</w:t>
      </w:r>
      <w:r>
        <w:rPr>
          <w:rFonts w:hint="eastAsia"/>
          <w:lang w:val="en-US" w:eastAsia="zh-CN"/>
        </w:rPr>
        <w:t>数据</w:t>
      </w:r>
      <w:r>
        <w:rPr>
          <w:rFonts w:hint="eastAsia"/>
        </w:rPr>
        <w:t>协同利用。</w:t>
      </w:r>
    </w:p>
    <w:p w14:paraId="5CEF89B5">
      <w:pPr>
        <w:pStyle w:val="168"/>
      </w:pPr>
      <w:r>
        <w:rPr>
          <w:rFonts w:hint="eastAsia"/>
          <w:lang w:val="en-US" w:eastAsia="zh-CN"/>
        </w:rPr>
        <w:t>结构温</w:t>
      </w:r>
      <w:r>
        <w:rPr>
          <w:rFonts w:hint="eastAsia"/>
        </w:rPr>
        <w:t>湿度传感器的选型与设置应符合JT/T 1037的规定。</w:t>
      </w:r>
    </w:p>
    <w:p w14:paraId="6C82D691">
      <w:pPr>
        <w:pStyle w:val="108"/>
        <w:spacing w:before="156" w:after="156"/>
        <w:rPr>
          <w:rFonts w:ascii="Times New Roman"/>
        </w:rPr>
      </w:pPr>
      <w:bookmarkStart w:id="93" w:name="_Ref193895469"/>
      <w:bookmarkStart w:id="94" w:name="_Toc213852428"/>
      <w:bookmarkStart w:id="95" w:name="_Toc16805"/>
      <w:r>
        <w:rPr>
          <w:rFonts w:hint="eastAsia" w:ascii="Times New Roman"/>
        </w:rPr>
        <w:t>交通荷载传感器</w:t>
      </w:r>
      <w:bookmarkEnd w:id="93"/>
      <w:bookmarkEnd w:id="94"/>
      <w:bookmarkEnd w:id="95"/>
    </w:p>
    <w:p w14:paraId="726E7581">
      <w:pPr>
        <w:pStyle w:val="168"/>
        <w:numPr>
          <w:ilvl w:val="3"/>
          <w:numId w:val="0"/>
        </w:numPr>
        <w:ind w:firstLine="420" w:firstLineChars="200"/>
        <w:rPr>
          <w:rFonts w:hint="eastAsia" w:eastAsia="宋体"/>
          <w:lang w:eastAsia="zh-CN"/>
        </w:rPr>
      </w:pPr>
      <w:r>
        <w:rPr>
          <w:rFonts w:hint="eastAsia"/>
        </w:rPr>
        <w:t>交通荷载观测应采用动态称重系统获取车辆轴重、轴距、车速、车流量及车道分布等信息，</w:t>
      </w:r>
      <w:r>
        <w:rPr>
          <w:rFonts w:hint="eastAsia"/>
          <w:lang w:val="en-US" w:eastAsia="zh-CN"/>
        </w:rPr>
        <w:t>荷载</w:t>
      </w:r>
      <w:r>
        <w:rPr>
          <w:rFonts w:hint="eastAsia"/>
        </w:rPr>
        <w:t>传感器的选型与设置应符合JT/T 1504.1的要求，可安装摄像头、雷达等设备实现车辆轨迹的观测</w:t>
      </w:r>
      <w:r>
        <w:rPr>
          <w:rFonts w:hint="eastAsia"/>
          <w:lang w:eastAsia="zh-CN"/>
        </w:rPr>
        <w:t>。</w:t>
      </w:r>
    </w:p>
    <w:p w14:paraId="129EC762">
      <w:pPr>
        <w:pStyle w:val="108"/>
        <w:spacing w:before="156" w:after="156"/>
        <w:rPr>
          <w:rFonts w:ascii="Times New Roman"/>
        </w:rPr>
      </w:pPr>
      <w:bookmarkStart w:id="96" w:name="_Toc20669"/>
      <w:bookmarkStart w:id="97" w:name="_Toc213852429"/>
      <w:r>
        <w:rPr>
          <w:rFonts w:ascii="Times New Roman"/>
        </w:rPr>
        <w:t>风速风向和风压传感器</w:t>
      </w:r>
      <w:bookmarkEnd w:id="96"/>
      <w:bookmarkEnd w:id="97"/>
    </w:p>
    <w:p w14:paraId="7053B545">
      <w:pPr>
        <w:pStyle w:val="168"/>
      </w:pPr>
      <w:r>
        <w:rPr>
          <w:rFonts w:hint="eastAsia"/>
        </w:rPr>
        <w:t>对于大跨径、高墩、缆索承重等风敏感桥梁，应安装风速风向和风压传感器。</w:t>
      </w:r>
    </w:p>
    <w:p w14:paraId="565DFA85">
      <w:pPr>
        <w:pStyle w:val="168"/>
      </w:pPr>
      <w:r>
        <w:rPr>
          <w:rFonts w:hint="eastAsia"/>
        </w:rPr>
        <w:t>风速风向传感器宜在桥面以上不同高度、主梁上下游及桥塔顶部等关键位置布设。风压传感器宜在主梁、桥塔等构件的特征断面表面布设。传感器的选型与设置应符合JT/T 1037的规定。</w:t>
      </w:r>
    </w:p>
    <w:p w14:paraId="6E60B43A">
      <w:pPr>
        <w:pStyle w:val="108"/>
        <w:spacing w:before="156" w:after="156"/>
        <w:rPr>
          <w:rFonts w:ascii="Times New Roman"/>
        </w:rPr>
      </w:pPr>
      <w:bookmarkStart w:id="98" w:name="_Ref193895507"/>
      <w:bookmarkStart w:id="99" w:name="_Toc10256"/>
      <w:bookmarkStart w:id="100" w:name="_Toc213852432"/>
      <w:r>
        <w:rPr>
          <w:rFonts w:hint="eastAsia" w:ascii="Times New Roman"/>
        </w:rPr>
        <w:t>地震动传感器</w:t>
      </w:r>
      <w:bookmarkEnd w:id="98"/>
      <w:bookmarkEnd w:id="99"/>
      <w:bookmarkEnd w:id="100"/>
    </w:p>
    <w:p w14:paraId="0EEF1533">
      <w:pPr>
        <w:pStyle w:val="168"/>
        <w:numPr>
          <w:ilvl w:val="3"/>
          <w:numId w:val="0"/>
        </w:numPr>
        <w:ind w:firstLine="420" w:firstLineChars="200"/>
      </w:pPr>
      <w:r>
        <w:rPr>
          <w:rFonts w:hint="eastAsia"/>
        </w:rPr>
        <w:t>地震动传感器的选型与设置应符合JT/T 1037的规定</w:t>
      </w:r>
      <w:r>
        <w:t>。</w:t>
      </w:r>
    </w:p>
    <w:p w14:paraId="050D1062">
      <w:pPr>
        <w:pStyle w:val="108"/>
        <w:spacing w:before="156" w:after="156"/>
        <w:rPr>
          <w:rFonts w:ascii="Times New Roman"/>
        </w:rPr>
      </w:pPr>
      <w:r>
        <w:rPr>
          <w:rFonts w:hint="eastAsia" w:ascii="Times New Roman"/>
        </w:rPr>
        <w:t>基础冲刷传感器</w:t>
      </w:r>
    </w:p>
    <w:p w14:paraId="613A44AF">
      <w:pPr>
        <w:pStyle w:val="168"/>
      </w:pPr>
      <w:r>
        <w:rPr>
          <w:rFonts w:hint="eastAsia"/>
        </w:rPr>
        <w:t>对于跨水域桥梁的墩台基础，应根据水文条件、基础形式及历史冲刷病害记录进行冲刷风险分析，选择适宜的固定式自动化基础冲刷传感器或便携式观测设备。</w:t>
      </w:r>
    </w:p>
    <w:p w14:paraId="1369D98D">
      <w:pPr>
        <w:pStyle w:val="168"/>
      </w:pPr>
      <w:r>
        <w:rPr>
          <w:rFonts w:hint="eastAsia"/>
        </w:rPr>
        <w:t>基础冲刷传感器</w:t>
      </w:r>
      <w:r>
        <w:rPr>
          <w:rFonts w:hint="eastAsia"/>
          <w:lang w:val="en-US" w:eastAsia="zh-CN"/>
        </w:rPr>
        <w:t>的选型，</w:t>
      </w:r>
      <w:r>
        <w:rPr>
          <w:rFonts w:hint="eastAsia"/>
        </w:rPr>
        <w:t>应</w:t>
      </w:r>
      <w:r>
        <w:rPr>
          <w:rFonts w:hint="eastAsia"/>
          <w:lang w:val="en-US" w:eastAsia="zh-CN"/>
        </w:rPr>
        <w:t>综合考虑</w:t>
      </w:r>
      <w:r>
        <w:rPr>
          <w:rFonts w:hint="eastAsia"/>
        </w:rPr>
        <w:t>桥址处水流速度、含沙量、河床地质、通航情况、冲刷坑形态演变趋势及设计允许冲刷深度</w:t>
      </w:r>
      <w:r>
        <w:rPr>
          <w:rFonts w:hint="eastAsia"/>
          <w:lang w:val="en-US" w:eastAsia="zh-CN"/>
        </w:rPr>
        <w:t>等因素</w:t>
      </w:r>
      <w:r>
        <w:rPr>
          <w:rFonts w:hint="eastAsia"/>
        </w:rPr>
        <w:t>，</w:t>
      </w:r>
      <w:r>
        <w:rPr>
          <w:rFonts w:hint="eastAsia"/>
          <w:lang w:val="en-US" w:eastAsia="zh-CN"/>
        </w:rPr>
        <w:t>并视需要</w:t>
      </w:r>
      <w:r>
        <w:rPr>
          <w:rFonts w:hint="eastAsia"/>
        </w:rPr>
        <w:t>结合模型试验或比测结果确定最适设备。</w:t>
      </w:r>
    </w:p>
    <w:p w14:paraId="5ECB9FE2">
      <w:pPr>
        <w:pStyle w:val="168"/>
      </w:pPr>
      <w:r>
        <w:rPr>
          <w:rFonts w:hint="eastAsia"/>
        </w:rPr>
        <w:t>宜采用声学方法观测冲刷深度，采用雷达法观测水流速度，雷达法水流速度观测设备的分辨力宜不低于0.01 m/s，采样频率不宜低于1 Hz。在水流夹沙量极大或高掺气水流的监测点位，宜增加接触式冲刷传感器作为冗余观测手段。</w:t>
      </w:r>
    </w:p>
    <w:p w14:paraId="44C17AA4">
      <w:pPr>
        <w:pStyle w:val="168"/>
      </w:pPr>
      <w:r>
        <w:rPr>
          <w:rFonts w:hint="eastAsia"/>
        </w:rPr>
        <w:t>基础冲刷测点的设置应符合JT/T 1037的规定。</w:t>
      </w:r>
    </w:p>
    <w:p w14:paraId="4D8AC1BD">
      <w:pPr>
        <w:pStyle w:val="108"/>
        <w:spacing w:before="156" w:after="156"/>
        <w:rPr>
          <w:rFonts w:ascii="Times New Roman"/>
        </w:rPr>
      </w:pPr>
      <w:bookmarkStart w:id="101" w:name="_Toc213852434"/>
      <w:bookmarkStart w:id="102" w:name="_Toc20494"/>
      <w:r>
        <w:rPr>
          <w:rFonts w:hint="eastAsia" w:ascii="Times New Roman"/>
        </w:rPr>
        <w:t>应变传感器</w:t>
      </w:r>
      <w:bookmarkEnd w:id="101"/>
      <w:bookmarkEnd w:id="102"/>
    </w:p>
    <w:p w14:paraId="5F375988">
      <w:pPr>
        <w:pStyle w:val="168"/>
      </w:pPr>
      <w:r>
        <w:rPr>
          <w:rFonts w:hint="eastAsia"/>
        </w:rPr>
        <w:t>应变观测应针对主梁控制截面、桥塔、拱脚、索锚固区等关键受力部位，宜采用温度自补偿应变计。</w:t>
      </w:r>
    </w:p>
    <w:p w14:paraId="6972A97E">
      <w:pPr>
        <w:pStyle w:val="168"/>
      </w:pPr>
      <w:bookmarkStart w:id="103" w:name="_Ref193895526"/>
      <w:r>
        <w:rPr>
          <w:rFonts w:hint="eastAsia"/>
        </w:rPr>
        <w:t>新建桥梁宜预埋传感器，运营期桥梁可采用表贴式传感器。传感器的选型与设置应符合JT/T 1037的</w:t>
      </w:r>
      <w:bookmarkEnd w:id="103"/>
      <w:r>
        <w:rPr>
          <w:rFonts w:hint="eastAsia"/>
        </w:rPr>
        <w:t>规定。</w:t>
      </w:r>
    </w:p>
    <w:p w14:paraId="6EDD46F9">
      <w:pPr>
        <w:pStyle w:val="108"/>
        <w:spacing w:before="156" w:after="156"/>
        <w:rPr>
          <w:rFonts w:ascii="Times New Roman"/>
        </w:rPr>
      </w:pPr>
      <w:bookmarkStart w:id="104" w:name="_Toc29280"/>
      <w:bookmarkStart w:id="105" w:name="_Toc213852437"/>
      <w:r>
        <w:rPr>
          <w:rFonts w:hint="eastAsia" w:ascii="Times New Roman"/>
        </w:rPr>
        <w:t>结构位移传感器</w:t>
      </w:r>
      <w:bookmarkEnd w:id="104"/>
      <w:bookmarkEnd w:id="105"/>
    </w:p>
    <w:p w14:paraId="39F8B67E">
      <w:pPr>
        <w:pStyle w:val="168"/>
      </w:pPr>
      <w:r>
        <w:rPr>
          <w:rFonts w:hint="eastAsia"/>
        </w:rPr>
        <w:t>结构位移应包括竖向位移、横向位移、纵向位移、支座位移等。</w:t>
      </w:r>
    </w:p>
    <w:p w14:paraId="157DD951">
      <w:pPr>
        <w:pStyle w:val="168"/>
      </w:pPr>
      <w:r>
        <w:rPr>
          <w:rFonts w:hint="eastAsia"/>
        </w:rPr>
        <w:t>宜采用GNSS、静力水准仪、</w:t>
      </w:r>
      <w:r>
        <w:rPr>
          <w:rFonts w:hint="eastAsia"/>
          <w:lang w:val="en-US" w:eastAsia="zh-CN"/>
        </w:rPr>
        <w:t>光电传感器、雷达</w:t>
      </w:r>
      <w:r>
        <w:rPr>
          <w:rFonts w:hint="eastAsia"/>
        </w:rPr>
        <w:t>等多种技术手段，观测数据应统一至桥梁独立坐标系。对同一物理量的多传感器观测，采样频率应一致。传感器的选型与</w:t>
      </w:r>
      <w:r>
        <w:t>设置</w:t>
      </w:r>
      <w:r>
        <w:rPr>
          <w:rFonts w:hint="eastAsia"/>
        </w:rPr>
        <w:t>应符合JT/T 1037的规定</w:t>
      </w:r>
      <w:r>
        <w:t>。</w:t>
      </w:r>
    </w:p>
    <w:p w14:paraId="1806AE3A">
      <w:pPr>
        <w:pStyle w:val="108"/>
        <w:spacing w:before="156" w:after="156"/>
        <w:rPr>
          <w:rFonts w:ascii="Times New Roman"/>
        </w:rPr>
      </w:pPr>
      <w:bookmarkStart w:id="106" w:name="_Toc213852449"/>
      <w:bookmarkStart w:id="107" w:name="_Toc24715"/>
      <w:r>
        <w:rPr>
          <w:rFonts w:hint="eastAsia" w:ascii="Times New Roman"/>
        </w:rPr>
        <w:t>转角传感器</w:t>
      </w:r>
      <w:bookmarkEnd w:id="106"/>
      <w:bookmarkEnd w:id="107"/>
    </w:p>
    <w:p w14:paraId="5356AA94">
      <w:pPr>
        <w:pStyle w:val="168"/>
        <w:numPr>
          <w:ilvl w:val="3"/>
          <w:numId w:val="0"/>
        </w:numPr>
        <w:ind w:firstLine="420" w:firstLineChars="200"/>
      </w:pPr>
      <w:r>
        <w:rPr>
          <w:rFonts w:hint="eastAsia"/>
        </w:rPr>
        <w:t>转角传感器的选型与设置应符合JT/T 1037的规定。</w:t>
      </w:r>
    </w:p>
    <w:p w14:paraId="3EDAE2DB">
      <w:pPr>
        <w:pStyle w:val="108"/>
        <w:spacing w:before="156" w:after="156"/>
        <w:rPr>
          <w:rFonts w:ascii="Times New Roman"/>
        </w:rPr>
      </w:pPr>
      <w:bookmarkStart w:id="108" w:name="_Toc213852438"/>
      <w:bookmarkStart w:id="109" w:name="_Toc13749"/>
      <w:r>
        <w:rPr>
          <w:rFonts w:hint="eastAsia" w:ascii="Times New Roman"/>
        </w:rPr>
        <w:t>结构振动传感器</w:t>
      </w:r>
      <w:bookmarkEnd w:id="108"/>
      <w:bookmarkEnd w:id="109"/>
    </w:p>
    <w:p w14:paraId="6E3DC565">
      <w:pPr>
        <w:pStyle w:val="168"/>
      </w:pPr>
      <w:r>
        <w:rPr>
          <w:rFonts w:hint="eastAsia"/>
        </w:rPr>
        <w:t>用于监测结构在环境激励或车辆、风荷载下的动力特性及振动加速度或速度响应。</w:t>
      </w:r>
    </w:p>
    <w:p w14:paraId="52CAABBA">
      <w:pPr>
        <w:pStyle w:val="168"/>
      </w:pPr>
      <w:r>
        <w:rPr>
          <w:rFonts w:hint="eastAsia"/>
        </w:rPr>
        <w:t>传感器应布设在能有效捕捉结构主要振型的关键点位。传感器的选型与设置应符合JT/T 1037的规定。</w:t>
      </w:r>
    </w:p>
    <w:p w14:paraId="442AD81C">
      <w:pPr>
        <w:pStyle w:val="108"/>
        <w:spacing w:before="156" w:after="156"/>
        <w:rPr>
          <w:rFonts w:ascii="Times New Roman"/>
        </w:rPr>
      </w:pPr>
      <w:bookmarkStart w:id="110" w:name="_Toc16712"/>
      <w:bookmarkStart w:id="111" w:name="_Toc213852443"/>
      <w:r>
        <w:rPr>
          <w:rFonts w:hint="eastAsia" w:ascii="Times New Roman"/>
        </w:rPr>
        <w:t>索力传感器</w:t>
      </w:r>
      <w:bookmarkEnd w:id="110"/>
      <w:bookmarkEnd w:id="111"/>
    </w:p>
    <w:p w14:paraId="3AB18656">
      <w:pPr>
        <w:pStyle w:val="168"/>
      </w:pPr>
      <w:r>
        <w:rPr>
          <w:rFonts w:hint="eastAsia"/>
        </w:rPr>
        <w:t>斜拉桥、悬索桥、系杆拱桥等缆索承重桥梁应安装索力传感器。</w:t>
      </w:r>
    </w:p>
    <w:p w14:paraId="477B54C1">
      <w:pPr>
        <w:pStyle w:val="168"/>
      </w:pPr>
      <w:r>
        <w:rPr>
          <w:rFonts w:hint="eastAsia"/>
        </w:rPr>
        <w:t>宜采用振动频率法、磁通量法等手段，观测应覆盖不同位置、不同类型的代表性索股。传感器的选型与</w:t>
      </w:r>
      <w:r>
        <w:t>设置</w:t>
      </w:r>
      <w:r>
        <w:rPr>
          <w:rFonts w:hint="eastAsia"/>
        </w:rPr>
        <w:t>应符合JT/T 1037的规定</w:t>
      </w:r>
      <w:r>
        <w:t>。</w:t>
      </w:r>
    </w:p>
    <w:p w14:paraId="616F3CD7">
      <w:pPr>
        <w:pStyle w:val="108"/>
        <w:spacing w:before="156" w:after="156"/>
        <w:rPr>
          <w:rFonts w:ascii="Times New Roman"/>
        </w:rPr>
      </w:pPr>
      <w:bookmarkStart w:id="112" w:name="_Toc13499"/>
      <w:bookmarkStart w:id="113" w:name="_Toc213852452"/>
      <w:r>
        <w:rPr>
          <w:rFonts w:hint="eastAsia" w:ascii="Times New Roman"/>
        </w:rPr>
        <w:t>支座反力传感器</w:t>
      </w:r>
      <w:bookmarkEnd w:id="112"/>
      <w:bookmarkEnd w:id="113"/>
    </w:p>
    <w:p w14:paraId="037DDDF3">
      <w:pPr>
        <w:pStyle w:val="168"/>
      </w:pPr>
      <w:r>
        <w:rPr>
          <w:rFonts w:hint="eastAsia"/>
        </w:rPr>
        <w:t>摩擦摆支座、高阻尼支座等特殊支座，可安装反力传感器。</w:t>
      </w:r>
    </w:p>
    <w:p w14:paraId="0EB85E97">
      <w:pPr>
        <w:pStyle w:val="168"/>
      </w:pPr>
      <w:r>
        <w:rPr>
          <w:rFonts w:hint="eastAsia"/>
        </w:rPr>
        <w:t>传感器</w:t>
      </w:r>
      <w:r>
        <w:rPr>
          <w:rFonts w:hint="eastAsia"/>
          <w:lang w:val="en-US" w:eastAsia="zh-CN"/>
        </w:rPr>
        <w:t>应</w:t>
      </w:r>
      <w:r>
        <w:rPr>
          <w:rFonts w:hint="eastAsia"/>
        </w:rPr>
        <w:t>与支座集成或置于支座底部。选型与设置应符合JT/T 1037的规定。</w:t>
      </w:r>
    </w:p>
    <w:p w14:paraId="521179E2">
      <w:pPr>
        <w:pStyle w:val="108"/>
        <w:spacing w:before="156" w:after="156"/>
        <w:rPr>
          <w:rFonts w:ascii="Times New Roman"/>
        </w:rPr>
      </w:pPr>
      <w:r>
        <w:rPr>
          <w:rFonts w:hint="eastAsia" w:ascii="Times New Roman"/>
        </w:rPr>
        <w:t>裂缝传感器</w:t>
      </w:r>
    </w:p>
    <w:p w14:paraId="037DA155">
      <w:pPr>
        <w:pStyle w:val="168"/>
      </w:pPr>
      <w:r>
        <w:t>裂缝</w:t>
      </w:r>
      <w:r>
        <w:rPr>
          <w:rFonts w:hint="eastAsia"/>
        </w:rPr>
        <w:t>观</w:t>
      </w:r>
      <w:r>
        <w:t>测点布设</w:t>
      </w:r>
      <w:r>
        <w:rPr>
          <w:rFonts w:hint="eastAsia"/>
        </w:rPr>
        <w:t>应根据裂缝的重要性、活动性、宽度及发展速率</w:t>
      </w:r>
      <w:r>
        <w:t>等因素综合确定。</w:t>
      </w:r>
    </w:p>
    <w:p w14:paraId="05A2DF46">
      <w:pPr>
        <w:pStyle w:val="168"/>
      </w:pPr>
      <w:r>
        <w:rPr>
          <w:rFonts w:hint="eastAsia"/>
        </w:rPr>
        <w:t>对于群缝或网状裂缝，宜采用分布式光纤传感技术</w:t>
      </w:r>
      <w:r>
        <w:rPr>
          <w:rFonts w:hint="eastAsia"/>
          <w:lang w:val="en-US" w:eastAsia="zh-CN"/>
        </w:rPr>
        <w:t>或</w:t>
      </w:r>
      <w:r>
        <w:rPr>
          <w:rFonts w:hint="eastAsia"/>
        </w:rPr>
        <w:t>定期高清图像拼接比对技术进行面域观测</w:t>
      </w:r>
      <w:r>
        <w:rPr>
          <w:rFonts w:hint="eastAsia"/>
          <w:lang w:eastAsia="zh-CN"/>
        </w:rPr>
        <w:t>，</w:t>
      </w:r>
      <w:r>
        <w:rPr>
          <w:rFonts w:hint="eastAsia"/>
          <w:lang w:val="en-US" w:eastAsia="zh-CN"/>
        </w:rPr>
        <w:t>其它</w:t>
      </w:r>
      <w:r>
        <w:rPr>
          <w:rFonts w:hint="eastAsia"/>
        </w:rPr>
        <w:t>传感器的选型应符合JT/T 1037的规定</w:t>
      </w:r>
      <w:r>
        <w:rPr>
          <w:rFonts w:hint="eastAsia"/>
          <w:lang w:eastAsia="zh-CN"/>
        </w:rPr>
        <w:t>。</w:t>
      </w:r>
    </w:p>
    <w:p w14:paraId="545C260B">
      <w:pPr>
        <w:pStyle w:val="108"/>
        <w:spacing w:before="156" w:after="156"/>
        <w:rPr>
          <w:rFonts w:ascii="Times New Roman"/>
        </w:rPr>
      </w:pPr>
      <w:r>
        <w:rPr>
          <w:rFonts w:hint="eastAsia"/>
        </w:rPr>
        <w:t>混凝土氯离子侵蚀</w:t>
      </w:r>
      <w:r>
        <w:rPr>
          <w:rFonts w:hint="eastAsia" w:ascii="Times New Roman"/>
        </w:rPr>
        <w:t>观测</w:t>
      </w:r>
    </w:p>
    <w:p w14:paraId="6E2C54E0">
      <w:pPr>
        <w:pStyle w:val="168"/>
      </w:pPr>
      <w:r>
        <w:rPr>
          <w:rFonts w:hint="eastAsia"/>
        </w:rPr>
        <w:t>对于处于冰盐或海洋氯盐环境的混凝土桥梁，宜进行氯离子侵入监测。</w:t>
      </w:r>
    </w:p>
    <w:p w14:paraId="35C11042">
      <w:pPr>
        <w:pStyle w:val="168"/>
      </w:pPr>
      <w:r>
        <w:rPr>
          <w:rFonts w:hint="eastAsia"/>
        </w:rPr>
        <w:t>混凝土氯离子侵蚀观测传感器的选型和设置应符合JT/T 1037的相关规定，重点监测墩</w:t>
      </w:r>
      <w:r>
        <w:rPr>
          <w:rFonts w:hint="eastAsia"/>
          <w:lang w:val="en-US" w:eastAsia="zh-CN"/>
        </w:rPr>
        <w:t>台</w:t>
      </w:r>
      <w:r>
        <w:rPr>
          <w:rFonts w:hint="eastAsia"/>
        </w:rPr>
        <w:t>水位变动区、浪溅区等部位。</w:t>
      </w:r>
    </w:p>
    <w:p w14:paraId="4A99899F">
      <w:pPr>
        <w:pStyle w:val="108"/>
        <w:spacing w:before="156" w:after="156"/>
        <w:rPr>
          <w:rFonts w:ascii="Times New Roman"/>
        </w:rPr>
      </w:pPr>
      <w:bookmarkStart w:id="114" w:name="_Toc213852458"/>
      <w:bookmarkStart w:id="115" w:name="_Toc865"/>
      <w:r>
        <w:rPr>
          <w:rFonts w:hint="eastAsia" w:ascii="Times New Roman"/>
        </w:rPr>
        <w:t>钢构件腐蚀与紧固状态观测</w:t>
      </w:r>
      <w:bookmarkEnd w:id="114"/>
      <w:bookmarkEnd w:id="115"/>
    </w:p>
    <w:p w14:paraId="7F4163D6">
      <w:pPr>
        <w:pStyle w:val="168"/>
      </w:pPr>
      <w:r>
        <w:rPr>
          <w:rFonts w:hint="eastAsia"/>
        </w:rPr>
        <w:t>对于钢结构桥梁，宜观测关键螺栓/高强螺杆的紧固力、索夹滑移以及缆索断丝。</w:t>
      </w:r>
    </w:p>
    <w:p w14:paraId="0AA00919">
      <w:pPr>
        <w:pStyle w:val="168"/>
      </w:pPr>
      <w:r>
        <w:rPr>
          <w:rFonts w:hint="eastAsia"/>
        </w:rPr>
        <w:t>宜采用超声波螺栓应力仪、磁致伸缩传感器等进行紧固状态观测。</w:t>
      </w:r>
    </w:p>
    <w:p w14:paraId="6C21E747">
      <w:pPr>
        <w:pStyle w:val="168"/>
      </w:pPr>
      <w:r>
        <w:rPr>
          <w:rFonts w:hint="eastAsia"/>
        </w:rPr>
        <w:t>腐蚀监测测点宜布设在墩台水位变动、浪溅区的混凝土保护层内</w:t>
      </w:r>
      <w:r>
        <w:rPr>
          <w:rFonts w:hint="eastAsia"/>
          <w:lang w:eastAsia="zh-CN"/>
        </w:rPr>
        <w:t>，</w:t>
      </w:r>
      <w:r>
        <w:rPr>
          <w:rFonts w:hint="eastAsia"/>
        </w:rPr>
        <w:t>测点位置、数量可根据氯离子浓度梯度测试要求确定。</w:t>
      </w:r>
    </w:p>
    <w:p w14:paraId="648F0358">
      <w:pPr>
        <w:pStyle w:val="168"/>
      </w:pPr>
      <w:r>
        <w:rPr>
          <w:rFonts w:hint="eastAsia"/>
        </w:rPr>
        <w:t>腐蚀监测宜选用电化学方法，腐蚀监测传感器宜选用沿混凝土保护层深度安装多电极传感器，可监测腐蚀电位、腐蚀电流、混凝土温度、腐蚀速率等参数，传感器的设置应符合JT/T 1037的规定。</w:t>
      </w:r>
    </w:p>
    <w:p w14:paraId="3889BD67">
      <w:pPr>
        <w:pStyle w:val="108"/>
        <w:spacing w:before="156" w:after="156"/>
        <w:rPr>
          <w:rFonts w:ascii="Times New Roman"/>
        </w:rPr>
      </w:pPr>
      <w:r>
        <w:rPr>
          <w:rFonts w:hint="eastAsia"/>
        </w:rPr>
        <w:t>人工观测与巡检</w:t>
      </w:r>
    </w:p>
    <w:p w14:paraId="1733F089">
      <w:pPr>
        <w:pStyle w:val="168"/>
      </w:pPr>
      <w:r>
        <w:rPr>
          <w:rFonts w:hint="eastAsia"/>
        </w:rPr>
        <w:t>观测点应建立与自动化监测相结合的人工定期巡检制度。巡检内容、方法与频率应符合JTG 5120的规定。</w:t>
      </w:r>
    </w:p>
    <w:p w14:paraId="3E9F82A0">
      <w:pPr>
        <w:pStyle w:val="168"/>
      </w:pPr>
      <w:r>
        <w:rPr>
          <w:rFonts w:hint="eastAsia"/>
        </w:rPr>
        <w:t>应配置必要的便携式设备、规范化的电子记录与数据录入终端或软件。</w:t>
      </w:r>
    </w:p>
    <w:p w14:paraId="0862F936">
      <w:pPr>
        <w:pStyle w:val="168"/>
      </w:pPr>
      <w:r>
        <w:rPr>
          <w:rFonts w:hint="eastAsia"/>
        </w:rPr>
        <w:t>在长期性能观测点上进行的专项检测，所使用的设备信息、校准记录及原始数据均应归档保存。</w:t>
      </w:r>
    </w:p>
    <w:p w14:paraId="57FF5239">
      <w:pPr>
        <w:pStyle w:val="107"/>
        <w:spacing w:before="312" w:after="312"/>
        <w:rPr>
          <w:rFonts w:ascii="Times New Roman"/>
        </w:rPr>
      </w:pPr>
      <w:bookmarkStart w:id="116" w:name="_Toc213852486"/>
      <w:bookmarkStart w:id="117" w:name="_Toc30183"/>
      <w:r>
        <w:rPr>
          <w:rFonts w:hint="eastAsia" w:ascii="Times New Roman"/>
        </w:rPr>
        <w:t>隧道结构观测点建设</w:t>
      </w:r>
      <w:bookmarkEnd w:id="116"/>
      <w:bookmarkEnd w:id="117"/>
    </w:p>
    <w:p w14:paraId="79024B17">
      <w:pPr>
        <w:pStyle w:val="108"/>
        <w:spacing w:before="156" w:after="156"/>
        <w:rPr>
          <w:rFonts w:ascii="Times New Roman"/>
        </w:rPr>
      </w:pPr>
      <w:r>
        <w:rPr>
          <w:rFonts w:ascii="Times New Roman"/>
        </w:rPr>
        <w:t>一般要求</w:t>
      </w:r>
    </w:p>
    <w:p w14:paraId="6807B142">
      <w:pPr>
        <w:pStyle w:val="168"/>
      </w:pPr>
      <w:r>
        <w:rPr>
          <w:rFonts w:hint="eastAsia"/>
        </w:rPr>
        <w:t>隧道长期性能观测点应根据隧道结构的地质条件、结构形式、断面尺寸、病害历史及运营环境，科学确定观测项目。</w:t>
      </w:r>
    </w:p>
    <w:p w14:paraId="0A280D38">
      <w:pPr>
        <w:pStyle w:val="168"/>
      </w:pPr>
      <w:r>
        <w:rPr>
          <w:rFonts w:hint="eastAsia"/>
        </w:rPr>
        <w:t>观测方案应以掌握围岩-支护结构体系的长期稳定性、衬砌结构的安全性、耐久性以及运营环境变化为目标，重点关注荷载、结构内力与变形、渗漏水及材料劣化等关键参数。</w:t>
      </w:r>
    </w:p>
    <w:p w14:paraId="4181AC5A">
      <w:pPr>
        <w:pStyle w:val="168"/>
      </w:pPr>
      <w:r>
        <w:rPr>
          <w:rFonts w:hint="eastAsia"/>
        </w:rPr>
        <w:t>应在关键地质变化段、结构受力复杂段、已发现病害段或潜在风险段</w:t>
      </w:r>
      <w:r>
        <w:rPr>
          <w:rFonts w:hint="eastAsia"/>
          <w:lang w:val="en-US" w:eastAsia="zh-CN"/>
        </w:rPr>
        <w:t>等</w:t>
      </w:r>
      <w:r>
        <w:rPr>
          <w:rFonts w:hint="eastAsia"/>
        </w:rPr>
        <w:t>设置代表性观测断面，代表性观测断面的选择应遵循以下原则：</w:t>
      </w:r>
    </w:p>
    <w:p w14:paraId="06BF3107">
      <w:pPr>
        <w:pStyle w:val="168"/>
        <w:numPr>
          <w:ilvl w:val="0"/>
          <w:numId w:val="34"/>
        </w:numPr>
        <w:ind w:left="420" w:leftChars="0"/>
      </w:pPr>
      <w:r>
        <w:rPr>
          <w:rFonts w:hint="eastAsia"/>
        </w:rPr>
        <w:t>优先选择下列特殊地段设置观测断面：</w:t>
      </w:r>
      <w:r>
        <w:rPr>
          <w:rFonts w:hint="eastAsia"/>
          <w:lang w:val="en-US" w:eastAsia="zh-CN"/>
        </w:rPr>
        <w:t>浅埋</w:t>
      </w:r>
      <w:r>
        <w:rPr>
          <w:rFonts w:hint="eastAsia"/>
        </w:rPr>
        <w:t>偏压区、断层破碎带、地下水丰富区</w:t>
      </w:r>
      <w:r>
        <w:rPr>
          <w:rFonts w:hint="eastAsia"/>
          <w:lang w:eastAsia="zh-CN"/>
        </w:rPr>
        <w:t>、</w:t>
      </w:r>
      <w:r>
        <w:rPr>
          <w:rFonts w:hint="eastAsia"/>
        </w:rPr>
        <w:t>衬砌变截面</w:t>
      </w:r>
      <w:r>
        <w:rPr>
          <w:rFonts w:hint="eastAsia"/>
          <w:lang w:val="en-US" w:eastAsia="zh-CN"/>
        </w:rPr>
        <w:t>处、明暗交界段以及不同支护结构型式过渡段；</w:t>
      </w:r>
    </w:p>
    <w:p w14:paraId="3D8FC176">
      <w:pPr>
        <w:pStyle w:val="168"/>
        <w:numPr>
          <w:ilvl w:val="0"/>
          <w:numId w:val="34"/>
        </w:numPr>
        <w:ind w:left="420" w:leftChars="0"/>
      </w:pPr>
      <w:r>
        <w:rPr>
          <w:rFonts w:hint="eastAsia"/>
        </w:rPr>
        <w:t>在洞口段、浅埋段、围岩级别变化处及其他经评估存在潜在风险的区段增设观测断面</w:t>
      </w:r>
      <w:r>
        <w:rPr>
          <w:rFonts w:hint="eastAsia"/>
          <w:lang w:eastAsia="zh-CN"/>
        </w:rPr>
        <w:t>；</w:t>
      </w:r>
    </w:p>
    <w:p w14:paraId="73154576">
      <w:pPr>
        <w:pStyle w:val="168"/>
        <w:numPr>
          <w:ilvl w:val="0"/>
          <w:numId w:val="34"/>
        </w:numPr>
        <w:ind w:left="420" w:leftChars="0"/>
      </w:pPr>
      <w:r>
        <w:rPr>
          <w:rFonts w:hint="eastAsia"/>
          <w:lang w:val="en-US" w:eastAsia="zh-CN"/>
        </w:rPr>
        <w:t>隧道上方存在既有或规划构筑物的路段。</w:t>
      </w:r>
    </w:p>
    <w:p w14:paraId="4EFD9479">
      <w:pPr>
        <w:pStyle w:val="108"/>
        <w:spacing w:before="156" w:after="156"/>
        <w:rPr>
          <w:rFonts w:ascii="Times New Roman"/>
        </w:rPr>
      </w:pPr>
      <w:bookmarkStart w:id="118" w:name="_Toc213852488"/>
      <w:bookmarkStart w:id="119" w:name="_Toc7583"/>
      <w:r>
        <w:rPr>
          <w:rFonts w:ascii="Times New Roman"/>
        </w:rPr>
        <w:t>气象站</w:t>
      </w:r>
      <w:bookmarkEnd w:id="118"/>
      <w:bookmarkEnd w:id="119"/>
    </w:p>
    <w:p w14:paraId="7135C02B">
      <w:pPr>
        <w:pStyle w:val="168"/>
        <w:numPr>
          <w:ilvl w:val="0"/>
          <w:numId w:val="0"/>
        </w:numPr>
        <w:ind w:firstLine="420" w:firstLineChars="200"/>
      </w:pPr>
      <w:r>
        <w:rPr>
          <w:rFonts w:hint="eastAsia"/>
        </w:rPr>
        <w:t>气象站应布设在隧道洞口附近开阔地带，并符合本标准第6.2.1条的规定</w:t>
      </w:r>
      <w:r>
        <w:t>。</w:t>
      </w:r>
    </w:p>
    <w:p w14:paraId="3FB5CB78">
      <w:pPr>
        <w:pStyle w:val="108"/>
        <w:spacing w:before="156" w:after="156"/>
        <w:rPr>
          <w:rFonts w:ascii="Times New Roman"/>
        </w:rPr>
      </w:pPr>
      <w:bookmarkStart w:id="120" w:name="_Toc27680"/>
      <w:bookmarkStart w:id="121" w:name="_Toc213852490"/>
      <w:r>
        <w:rPr>
          <w:rFonts w:hint="eastAsia" w:ascii="Times New Roman"/>
        </w:rPr>
        <w:t>隧道温湿度</w:t>
      </w:r>
      <w:r>
        <w:rPr>
          <w:rFonts w:ascii="Times New Roman"/>
        </w:rPr>
        <w:t>传感器</w:t>
      </w:r>
      <w:bookmarkEnd w:id="120"/>
      <w:bookmarkEnd w:id="121"/>
    </w:p>
    <w:p w14:paraId="3C4B96FB">
      <w:pPr>
        <w:pStyle w:val="168"/>
      </w:pPr>
      <w:r>
        <w:rPr>
          <w:rFonts w:hint="eastAsia"/>
        </w:rPr>
        <w:t>温湿度传感器包括隧道内环境温湿度传感器和衬砌温湿度传感器。</w:t>
      </w:r>
    </w:p>
    <w:p w14:paraId="5CA1D1AF">
      <w:pPr>
        <w:pStyle w:val="168"/>
      </w:pPr>
      <w:r>
        <w:rPr>
          <w:rFonts w:hint="eastAsia"/>
        </w:rPr>
        <w:t>环境温湿度传感器布设断面应选择在隧道温湿度变化显著的区域，衬砌温湿度传感器应与变形受力测点布置在同一监测断面。</w:t>
      </w:r>
    </w:p>
    <w:p w14:paraId="3AEBF39A">
      <w:pPr>
        <w:pStyle w:val="168"/>
      </w:pPr>
      <w:r>
        <w:rPr>
          <w:rFonts w:hint="eastAsia"/>
        </w:rPr>
        <w:t>长大隧道温湿度传感器应沿隧道纵向分段布设。</w:t>
      </w:r>
    </w:p>
    <w:p w14:paraId="08ED1B50">
      <w:pPr>
        <w:pStyle w:val="168"/>
      </w:pPr>
      <w:r>
        <w:rPr>
          <w:rFonts w:hint="eastAsia"/>
        </w:rPr>
        <w:t>温度传感器的精度不应低于0.1℃，湿度传感器的精度不应低于1%。</w:t>
      </w:r>
    </w:p>
    <w:p w14:paraId="0B3D80AA">
      <w:pPr>
        <w:pStyle w:val="108"/>
        <w:spacing w:before="156" w:after="156"/>
        <w:rPr>
          <w:rFonts w:ascii="Times New Roman"/>
        </w:rPr>
      </w:pPr>
      <w:r>
        <w:rPr>
          <w:rFonts w:hint="eastAsia" w:ascii="Times New Roman"/>
        </w:rPr>
        <w:t>围岩压力与地下水压力传感器</w:t>
      </w:r>
    </w:p>
    <w:p w14:paraId="517DC0DD">
      <w:pPr>
        <w:pStyle w:val="168"/>
      </w:pPr>
      <w:r>
        <w:rPr>
          <w:rFonts w:hint="eastAsia"/>
        </w:rPr>
        <w:t>土压力宜采用振弦式或光纤光栅式土压力盒，应在代表性断面的拱顶、拱腰、拱脚等部位布设，每个观测断面不宜少于5个测点，量程不应小于设计值的2倍。</w:t>
      </w:r>
    </w:p>
    <w:p w14:paraId="605CC695">
      <w:pPr>
        <w:pStyle w:val="168"/>
      </w:pPr>
      <w:r>
        <w:rPr>
          <w:rFonts w:hint="eastAsia"/>
        </w:rPr>
        <w:t>水压力宜采用渗压计，应布设在衬砌背后排水系统</w:t>
      </w:r>
      <w:r>
        <w:rPr>
          <w:rFonts w:hint="eastAsia"/>
          <w:lang w:val="en-US" w:eastAsia="zh-CN"/>
        </w:rPr>
        <w:t>排水管连接处</w:t>
      </w:r>
      <w:r>
        <w:rPr>
          <w:rFonts w:hint="eastAsia"/>
        </w:rPr>
        <w:t>、施工缝、变形缝或已知渗漏水部位附近，以及</w:t>
      </w:r>
      <w:r>
        <w:rPr>
          <w:rFonts w:hint="eastAsia"/>
          <w:lang w:val="en-US" w:eastAsia="zh-CN"/>
        </w:rPr>
        <w:t>裂隙发育区</w:t>
      </w:r>
      <w:r>
        <w:rPr>
          <w:rFonts w:hint="eastAsia"/>
        </w:rPr>
        <w:t>，渗压计量程应不小于预估静水压力的2倍。</w:t>
      </w:r>
    </w:p>
    <w:p w14:paraId="623B3C56">
      <w:pPr>
        <w:pStyle w:val="168"/>
      </w:pPr>
      <w:r>
        <w:rPr>
          <w:rFonts w:hint="eastAsia"/>
        </w:rPr>
        <w:t>新建隧道宜在施工期预埋传感器，数据采集频率</w:t>
      </w:r>
      <w:r>
        <w:rPr>
          <w:rFonts w:hint="eastAsia"/>
          <w:lang w:val="en-US" w:eastAsia="zh-CN"/>
        </w:rPr>
        <w:t>在开挖初期应为1~2</w:t>
      </w:r>
      <w:r>
        <w:rPr>
          <w:rFonts w:hint="eastAsia"/>
        </w:rPr>
        <w:t>次/天</w:t>
      </w:r>
      <w:r>
        <w:rPr>
          <w:rFonts w:hint="eastAsia"/>
          <w:lang w:eastAsia="zh-CN"/>
        </w:rPr>
        <w:t>，</w:t>
      </w:r>
      <w:r>
        <w:rPr>
          <w:rFonts w:hint="eastAsia"/>
          <w:lang w:val="en-US" w:eastAsia="zh-CN"/>
        </w:rPr>
        <w:t>变形稳定后为1次/天</w:t>
      </w:r>
      <w:r>
        <w:rPr>
          <w:rFonts w:hint="eastAsia"/>
        </w:rPr>
        <w:t>。</w:t>
      </w:r>
    </w:p>
    <w:p w14:paraId="158692E6">
      <w:pPr>
        <w:pStyle w:val="168"/>
      </w:pPr>
      <w:r>
        <w:rPr>
          <w:rFonts w:hint="eastAsia"/>
        </w:rPr>
        <w:t>水压力传感器在雨季、隧道上方水位变化期或数据出现异常时，数据采集频率应不低于1次/小时</w:t>
      </w:r>
      <w:r>
        <w:t>。</w:t>
      </w:r>
    </w:p>
    <w:p w14:paraId="66BE4B5B">
      <w:pPr>
        <w:pStyle w:val="108"/>
        <w:spacing w:before="156" w:after="156"/>
        <w:rPr>
          <w:rFonts w:ascii="Times New Roman"/>
        </w:rPr>
      </w:pPr>
      <w:bookmarkStart w:id="122" w:name="_Toc19460"/>
      <w:bookmarkStart w:id="123" w:name="_Toc213852492"/>
      <w:r>
        <w:rPr>
          <w:rFonts w:hint="eastAsia" w:ascii="Times New Roman"/>
        </w:rPr>
        <w:t>衬砌</w:t>
      </w:r>
      <w:r>
        <w:rPr>
          <w:rFonts w:ascii="Times New Roman"/>
        </w:rPr>
        <w:t>应变传感器</w:t>
      </w:r>
      <w:bookmarkEnd w:id="122"/>
      <w:bookmarkEnd w:id="123"/>
    </w:p>
    <w:p w14:paraId="2D5DDF0A">
      <w:pPr>
        <w:pStyle w:val="168"/>
      </w:pPr>
      <w:r>
        <w:rPr>
          <w:rFonts w:hint="eastAsia"/>
        </w:rPr>
        <w:t>观测点应</w:t>
      </w:r>
      <w:r>
        <w:t>在拱顶、拱腰、拱脚</w:t>
      </w:r>
      <w:r>
        <w:rPr>
          <w:rFonts w:hint="eastAsia"/>
        </w:rPr>
        <w:t>及边墙沿</w:t>
      </w:r>
      <w:r>
        <w:t>隧道中轴线对称布设，</w:t>
      </w:r>
      <w:r>
        <w:rPr>
          <w:rFonts w:hint="eastAsia"/>
        </w:rPr>
        <w:t>测点总数不宜少于7个，混凝土应变计可采用埋入式或表贴式，钢筋应变计应焊接在主筋上，焊接方向应与主筋轴向受力方向保持一致。</w:t>
      </w:r>
    </w:p>
    <w:p w14:paraId="05425B94">
      <w:pPr>
        <w:pStyle w:val="168"/>
      </w:pPr>
      <w:r>
        <w:t>传感器量程</w:t>
      </w:r>
      <w:r>
        <w:rPr>
          <w:rFonts w:hint="eastAsia"/>
          <w:lang w:val="en-US" w:eastAsia="zh-CN"/>
        </w:rPr>
        <w:t>的</w:t>
      </w:r>
      <w:r>
        <w:t>宜取设计</w:t>
      </w:r>
      <w:r>
        <w:rPr>
          <w:rFonts w:hint="eastAsia"/>
        </w:rPr>
        <w:t>预估</w:t>
      </w:r>
      <w:r>
        <w:t>值的2倍，</w:t>
      </w:r>
      <w:r>
        <w:rPr>
          <w:rFonts w:hint="eastAsia"/>
        </w:rPr>
        <w:t>精度不应低于±</w:t>
      </w:r>
      <w:r>
        <w:rPr>
          <w:rFonts w:hint="eastAsia"/>
          <w:lang w:val="en-US" w:eastAsia="zh-CN"/>
        </w:rPr>
        <w:t>0.</w:t>
      </w:r>
      <w:r>
        <w:rPr>
          <w:rFonts w:hint="eastAsia"/>
        </w:rPr>
        <w:t xml:space="preserve">1 </w:t>
      </w:r>
      <w:r>
        <w:t>με</w:t>
      </w:r>
      <w:r>
        <w:rPr>
          <w:rFonts w:hint="eastAsia"/>
        </w:rPr>
        <w:t>，</w:t>
      </w:r>
      <w:r>
        <w:t>数据采集频率</w:t>
      </w:r>
      <w:r>
        <w:rPr>
          <w:rFonts w:hint="eastAsia"/>
        </w:rPr>
        <w:t>不</w:t>
      </w:r>
      <w:r>
        <w:t>应低于1次/天。</w:t>
      </w:r>
    </w:p>
    <w:p w14:paraId="5DBFE12E">
      <w:pPr>
        <w:pStyle w:val="108"/>
        <w:spacing w:before="156" w:after="156"/>
        <w:rPr>
          <w:rFonts w:ascii="Times New Roman"/>
        </w:rPr>
      </w:pPr>
      <w:bookmarkStart w:id="124" w:name="_Toc18604"/>
      <w:bookmarkStart w:id="125" w:name="_Toc213852493"/>
      <w:r>
        <w:rPr>
          <w:rFonts w:hint="eastAsia" w:ascii="Times New Roman"/>
        </w:rPr>
        <w:t>结构变形与位移观测设备</w:t>
      </w:r>
    </w:p>
    <w:p w14:paraId="252E8631">
      <w:pPr>
        <w:pStyle w:val="168"/>
      </w:pPr>
      <w:r>
        <w:rPr>
          <w:rFonts w:hint="eastAsia"/>
        </w:rPr>
        <w:t>结构变形与位移观测包括洞内收敛位移、拱顶下沉、洞门及洞口边坡位移等。</w:t>
      </w:r>
    </w:p>
    <w:p w14:paraId="04DECF89">
      <w:pPr>
        <w:pStyle w:val="168"/>
      </w:pPr>
      <w:r>
        <w:rPr>
          <w:rFonts w:hint="eastAsia"/>
        </w:rPr>
        <w:t>洞内收敛与拱顶下沉观测断面，应根据地质勘察资料、设计文件及施工期监测成果，综合确定在地质条件变化处、结构受力复杂段及已出现病害区段</w:t>
      </w:r>
      <w:r>
        <w:rPr>
          <w:rFonts w:hint="eastAsia"/>
          <w:lang w:val="en-US" w:eastAsia="zh-CN"/>
        </w:rPr>
        <w:t>等</w:t>
      </w:r>
      <w:r>
        <w:rPr>
          <w:rFonts w:hint="eastAsia"/>
        </w:rPr>
        <w:t>，每个观测断面应沿隧道纵向布设，且同一断面内收敛测线不应少于3条，拱顶下沉测点不应少于1个。</w:t>
      </w:r>
    </w:p>
    <w:p w14:paraId="72CC640D">
      <w:pPr>
        <w:pStyle w:val="168"/>
      </w:pPr>
      <w:r>
        <w:rPr>
          <w:rFonts w:hint="eastAsia"/>
        </w:rPr>
        <w:t>洞门与洞口边坡位移，应在洞门结构顶部、底部及洞口边坡上布设观测点，宜采用GNSS、全站仪或静力水准仪进行自动化观测。</w:t>
      </w:r>
    </w:p>
    <w:p w14:paraId="26274A26">
      <w:pPr>
        <w:pStyle w:val="168"/>
      </w:pPr>
      <w:r>
        <w:rPr>
          <w:rFonts w:hint="eastAsia"/>
        </w:rPr>
        <w:t>变形观测数据应统一至隧道工程独立坐标系，并明确坐标转换参数与投影高程面，常规工况下数据采集频率不应低于1次/天。当监测数据超预警阈值、变形速率异常，或遭遇极端天气、地质灾害风险、周边施工扰动等异常工况时，采集频率不应低于1次/小时，必要时开启实时连续采集。</w:t>
      </w:r>
    </w:p>
    <w:p w14:paraId="4C545E5C">
      <w:pPr>
        <w:pStyle w:val="108"/>
        <w:spacing w:before="156" w:after="156"/>
        <w:rPr>
          <w:rFonts w:ascii="Times New Roman"/>
        </w:rPr>
      </w:pPr>
      <w:r>
        <w:rPr>
          <w:rFonts w:ascii="Times New Roman"/>
        </w:rPr>
        <w:t>裂缝观测设备</w:t>
      </w:r>
      <w:bookmarkEnd w:id="124"/>
      <w:bookmarkEnd w:id="125"/>
    </w:p>
    <w:p w14:paraId="5BB4BEFF">
      <w:pPr>
        <w:pStyle w:val="168"/>
      </w:pPr>
      <w:r>
        <w:rPr>
          <w:rFonts w:hint="eastAsia"/>
        </w:rPr>
        <w:t>人工观测应在裂缝两端及关键转折点设置永久性、唯一编号的观测标记，采用裂缝观测仪、数字千分尺、标距尺等经校准的设备，测量并记录裂缝的位置、长度、宽度、深度及走向，并建立定期巡检制度。</w:t>
      </w:r>
    </w:p>
    <w:p w14:paraId="401012BB">
      <w:pPr>
        <w:pStyle w:val="168"/>
      </w:pPr>
      <w:r>
        <w:rPr>
          <w:rFonts w:hint="eastAsia"/>
        </w:rPr>
        <w:t>对于活动裂缝，宜安装裂缝计或采用数字图像相关技术进行自动连续观测，传感器应直接跨裂缝安装。自动观测采样频率不宜低于1次/天。</w:t>
      </w:r>
    </w:p>
    <w:p w14:paraId="43AB5E75">
      <w:pPr>
        <w:pStyle w:val="108"/>
        <w:spacing w:before="156" w:after="156"/>
        <w:rPr>
          <w:rFonts w:ascii="Times New Roman"/>
        </w:rPr>
      </w:pPr>
      <w:bookmarkStart w:id="126" w:name="_Toc213852496"/>
      <w:bookmarkStart w:id="127" w:name="_Toc24653"/>
      <w:r>
        <w:rPr>
          <w:rFonts w:hint="eastAsia" w:ascii="Times New Roman"/>
        </w:rPr>
        <w:t>结构锈蚀观测设备</w:t>
      </w:r>
      <w:bookmarkEnd w:id="126"/>
      <w:bookmarkEnd w:id="127"/>
    </w:p>
    <w:p w14:paraId="20539622">
      <w:pPr>
        <w:pStyle w:val="168"/>
      </w:pPr>
      <w:r>
        <w:rPr>
          <w:rFonts w:hint="eastAsia"/>
        </w:rPr>
        <w:t>新建隧道宜在施工时预埋结构锈蚀</w:t>
      </w:r>
      <w:r>
        <w:t>传感器</w:t>
      </w:r>
      <w:r>
        <w:rPr>
          <w:rFonts w:hint="eastAsia"/>
        </w:rPr>
        <w:t>，布设</w:t>
      </w:r>
      <w:r>
        <w:t>在受力</w:t>
      </w:r>
      <w:r>
        <w:rPr>
          <w:rFonts w:hint="eastAsia"/>
        </w:rPr>
        <w:t>主筋上，</w:t>
      </w:r>
      <w:r>
        <w:t>每个断面宜布设2~3个测点</w:t>
      </w:r>
      <w:r>
        <w:rPr>
          <w:rFonts w:hint="eastAsia"/>
        </w:rPr>
        <w:t>。</w:t>
      </w:r>
    </w:p>
    <w:p w14:paraId="1757ADDA">
      <w:pPr>
        <w:pStyle w:val="168"/>
      </w:pPr>
      <w:r>
        <w:t>数据采样频率</w:t>
      </w:r>
      <w:r>
        <w:rPr>
          <w:rFonts w:hint="eastAsia"/>
        </w:rPr>
        <w:t>，自动化传感器不宜低于1次/月，人工检测不</w:t>
      </w:r>
      <w:r>
        <w:t>宜低于1次/半年。</w:t>
      </w:r>
    </w:p>
    <w:p w14:paraId="19B54AA1">
      <w:pPr>
        <w:pStyle w:val="108"/>
        <w:spacing w:before="156" w:after="156"/>
      </w:pPr>
      <w:r>
        <w:rPr>
          <w:rFonts w:hint="eastAsia"/>
        </w:rPr>
        <w:t>人工观测与巡检</w:t>
      </w:r>
    </w:p>
    <w:p w14:paraId="5AFCD26F">
      <w:pPr>
        <w:pStyle w:val="168"/>
      </w:pPr>
      <w:r>
        <w:rPr>
          <w:rFonts w:hint="eastAsia"/>
        </w:rPr>
        <w:t>观测点必须建立系统化的人工巡检制度，作为自动化监测的重要补充。</w:t>
      </w:r>
    </w:p>
    <w:p w14:paraId="3021E543">
      <w:pPr>
        <w:pStyle w:val="168"/>
      </w:pPr>
      <w:r>
        <w:rPr>
          <w:rFonts w:hint="eastAsia"/>
        </w:rPr>
        <w:t>人工巡检的频率、方法和技术要求应符合JTG H12的规定。</w:t>
      </w:r>
    </w:p>
    <w:p w14:paraId="1F64F543">
      <w:pPr>
        <w:pStyle w:val="168"/>
      </w:pPr>
      <w:r>
        <w:rPr>
          <w:rFonts w:hint="eastAsia"/>
        </w:rPr>
        <w:t>人工巡检、定期检查及特殊检查的结果，应及时录入数据中心，形成连续的、可与自动化数据对比分析的完整记录，所使用的设备信息及校准记录应一并存档。</w:t>
      </w:r>
    </w:p>
    <w:p w14:paraId="7F21CE79">
      <w:pPr>
        <w:pStyle w:val="107"/>
        <w:spacing w:before="312" w:after="312"/>
        <w:rPr>
          <w:rFonts w:ascii="Times New Roman"/>
        </w:rPr>
      </w:pPr>
      <w:bookmarkStart w:id="128" w:name="_Toc213852518"/>
      <w:bookmarkStart w:id="129" w:name="_Toc12575"/>
      <w:r>
        <w:rPr>
          <w:rFonts w:hint="eastAsia" w:ascii="Times New Roman"/>
        </w:rPr>
        <w:t>数据采集和传输系统安装</w:t>
      </w:r>
      <w:bookmarkEnd w:id="128"/>
      <w:bookmarkEnd w:id="129"/>
    </w:p>
    <w:p w14:paraId="4EFAEE91">
      <w:pPr>
        <w:pStyle w:val="108"/>
        <w:spacing w:before="156" w:after="156"/>
        <w:rPr>
          <w:rFonts w:ascii="Times New Roman"/>
        </w:rPr>
      </w:pPr>
      <w:bookmarkStart w:id="130" w:name="_Toc213852519"/>
      <w:bookmarkStart w:id="131" w:name="_Toc2485"/>
      <w:r>
        <w:rPr>
          <w:rFonts w:ascii="Times New Roman"/>
        </w:rPr>
        <w:t>观测</w:t>
      </w:r>
      <w:r>
        <w:rPr>
          <w:rFonts w:hint="eastAsia" w:ascii="Times New Roman"/>
        </w:rPr>
        <w:t>机柜</w:t>
      </w:r>
      <w:r>
        <w:rPr>
          <w:rFonts w:ascii="Times New Roman"/>
        </w:rPr>
        <w:t>（</w:t>
      </w:r>
      <w:r>
        <w:rPr>
          <w:rFonts w:hint="eastAsia" w:ascii="Times New Roman"/>
        </w:rPr>
        <w:t>房</w:t>
      </w:r>
      <w:r>
        <w:rPr>
          <w:rFonts w:ascii="Times New Roman"/>
        </w:rPr>
        <w:t>）</w:t>
      </w:r>
      <w:bookmarkEnd w:id="130"/>
      <w:bookmarkEnd w:id="131"/>
    </w:p>
    <w:p w14:paraId="0B9F1F33">
      <w:pPr>
        <w:pStyle w:val="168"/>
      </w:pPr>
      <w:r>
        <w:rPr>
          <w:rFonts w:hint="eastAsia"/>
        </w:rPr>
        <w:t>观测机柜（房）的选址应在靠近传感器安装断面的前提下，综合评估通信网络覆盖条件、供电接入条件以及施工安装的可行性，宜优先利用隧道机电房空间。</w:t>
      </w:r>
    </w:p>
    <w:p w14:paraId="727C97EE">
      <w:pPr>
        <w:pStyle w:val="168"/>
      </w:pPr>
      <w:r>
        <w:t>观测</w:t>
      </w:r>
      <w:r>
        <w:rPr>
          <w:rFonts w:hint="eastAsia"/>
        </w:rPr>
        <w:t>机柜</w:t>
      </w:r>
      <w:r>
        <w:t>（</w:t>
      </w:r>
      <w:r>
        <w:rPr>
          <w:rFonts w:hint="eastAsia"/>
        </w:rPr>
        <w:t>房</w:t>
      </w:r>
      <w:r>
        <w:t>）应</w:t>
      </w:r>
      <w:r>
        <w:rPr>
          <w:rFonts w:hint="eastAsia"/>
        </w:rPr>
        <w:t>根据</w:t>
      </w:r>
      <w:r>
        <w:t>观测设备安装、检修、数据采集和供电供网的需要，设置合理的面积与结构形式。</w:t>
      </w:r>
    </w:p>
    <w:p w14:paraId="30DD6C57">
      <w:pPr>
        <w:pStyle w:val="168"/>
      </w:pPr>
      <w:r>
        <w:t>观测</w:t>
      </w:r>
      <w:r>
        <w:rPr>
          <w:rFonts w:hint="eastAsia"/>
        </w:rPr>
        <w:t>机柜</w:t>
      </w:r>
      <w:r>
        <w:t>（</w:t>
      </w:r>
      <w:r>
        <w:rPr>
          <w:rFonts w:hint="eastAsia"/>
        </w:rPr>
        <w:t>房</w:t>
      </w:r>
      <w:r>
        <w:t>）设置</w:t>
      </w:r>
      <w:r>
        <w:rPr>
          <w:rFonts w:hint="eastAsia"/>
        </w:rPr>
        <w:t>应</w:t>
      </w:r>
      <w:r>
        <w:t>符合下列要求：</w:t>
      </w:r>
    </w:p>
    <w:p w14:paraId="39920838">
      <w:pPr>
        <w:pStyle w:val="168"/>
        <w:numPr>
          <w:ilvl w:val="0"/>
          <w:numId w:val="35"/>
        </w:numPr>
        <w:ind w:left="420"/>
      </w:pPr>
      <w:r>
        <w:t>做好防水、防潮、防雷、防盗和生物防护；</w:t>
      </w:r>
    </w:p>
    <w:p w14:paraId="3252122E">
      <w:pPr>
        <w:pStyle w:val="168"/>
        <w:numPr>
          <w:ilvl w:val="0"/>
          <w:numId w:val="35"/>
        </w:numPr>
        <w:ind w:left="420"/>
      </w:pPr>
      <w:r>
        <w:t>设置防撞护栏等交通安全防护设施；</w:t>
      </w:r>
    </w:p>
    <w:p w14:paraId="11902D47">
      <w:pPr>
        <w:pStyle w:val="168"/>
        <w:numPr>
          <w:ilvl w:val="0"/>
          <w:numId w:val="35"/>
        </w:numPr>
        <w:ind w:left="420"/>
      </w:pPr>
      <w:r>
        <w:t>设置包括编号、所属观测点、运行功率等内容的铭牌。</w:t>
      </w:r>
    </w:p>
    <w:p w14:paraId="6325C9F8">
      <w:pPr>
        <w:pStyle w:val="108"/>
        <w:spacing w:before="156" w:after="156"/>
        <w:rPr>
          <w:rFonts w:ascii="Times New Roman"/>
        </w:rPr>
      </w:pPr>
      <w:bookmarkStart w:id="132" w:name="_Toc213852520"/>
      <w:r>
        <w:rPr>
          <w:rFonts w:ascii="Times New Roman"/>
        </w:rPr>
        <w:t>设备管理系统</w:t>
      </w:r>
      <w:bookmarkEnd w:id="132"/>
    </w:p>
    <w:p w14:paraId="3BC20C61">
      <w:pPr>
        <w:pStyle w:val="168"/>
      </w:pPr>
      <w:r>
        <w:t>观测点应配备设备管理系统，并</w:t>
      </w:r>
      <w:r>
        <w:rPr>
          <w:rFonts w:hint="eastAsia"/>
        </w:rPr>
        <w:t>宜满足</w:t>
      </w:r>
      <w:r>
        <w:t>下列</w:t>
      </w:r>
      <w:r>
        <w:rPr>
          <w:rFonts w:hint="eastAsia"/>
        </w:rPr>
        <w:t>条件</w:t>
      </w:r>
      <w:r>
        <w:t>：</w:t>
      </w:r>
    </w:p>
    <w:p w14:paraId="1E61C48D">
      <w:pPr>
        <w:pStyle w:val="168"/>
        <w:numPr>
          <w:ilvl w:val="0"/>
          <w:numId w:val="36"/>
        </w:numPr>
        <w:ind w:left="420"/>
      </w:pPr>
      <w:r>
        <w:t>支持开放式系统技术；</w:t>
      </w:r>
    </w:p>
    <w:p w14:paraId="27BE0A80">
      <w:pPr>
        <w:pStyle w:val="168"/>
        <w:numPr>
          <w:ilvl w:val="0"/>
          <w:numId w:val="36"/>
        </w:numPr>
        <w:ind w:left="420"/>
      </w:pPr>
      <w:r>
        <w:t>具备系统自诊断和故障部件自动唤醒、故障报警及自动监控功能；</w:t>
      </w:r>
    </w:p>
    <w:p w14:paraId="40A58998">
      <w:pPr>
        <w:pStyle w:val="168"/>
        <w:numPr>
          <w:ilvl w:val="0"/>
          <w:numId w:val="36"/>
        </w:numPr>
        <w:ind w:left="420"/>
      </w:pPr>
      <w:r>
        <w:t>配置与其他系统通信的接口。</w:t>
      </w:r>
    </w:p>
    <w:p w14:paraId="299C75CB">
      <w:pPr>
        <w:pStyle w:val="168"/>
      </w:pPr>
      <w:r>
        <w:t>设备管理系统应建立信息数据库，具备根据需要形成运行记录的功能。</w:t>
      </w:r>
    </w:p>
    <w:p w14:paraId="725FC3F6">
      <w:pPr>
        <w:pStyle w:val="108"/>
        <w:spacing w:before="156" w:after="156"/>
        <w:rPr>
          <w:rFonts w:ascii="Times New Roman"/>
        </w:rPr>
      </w:pPr>
      <w:bookmarkStart w:id="133" w:name="_Toc213852521"/>
      <w:r>
        <w:rPr>
          <w:rFonts w:ascii="Times New Roman"/>
        </w:rPr>
        <w:t>供电系统</w:t>
      </w:r>
      <w:bookmarkEnd w:id="133"/>
    </w:p>
    <w:p w14:paraId="5EED9EB0">
      <w:pPr>
        <w:pStyle w:val="168"/>
      </w:pPr>
      <w:r>
        <w:rPr>
          <w:rFonts w:hint="eastAsia"/>
        </w:rPr>
        <w:t>宜使用公共</w:t>
      </w:r>
      <w:r>
        <w:t>电网电源供电</w:t>
      </w:r>
      <w:r>
        <w:rPr>
          <w:rFonts w:hint="eastAsia"/>
        </w:rPr>
        <w:t>，</w:t>
      </w:r>
      <w:r>
        <w:t>使用太阳能供电时，</w:t>
      </w:r>
      <w:r>
        <w:rPr>
          <w:rFonts w:hint="eastAsia"/>
        </w:rPr>
        <w:t>宜充分考虑</w:t>
      </w:r>
      <w:r>
        <w:t>与观测点整体能耗</w:t>
      </w:r>
      <w:r>
        <w:rPr>
          <w:rFonts w:hint="eastAsia"/>
          <w:lang w:val="en-US" w:eastAsia="zh-CN"/>
        </w:rPr>
        <w:t>相</w:t>
      </w:r>
      <w:r>
        <w:t>匹配。</w:t>
      </w:r>
    </w:p>
    <w:p w14:paraId="5CEDBC8C">
      <w:pPr>
        <w:pStyle w:val="168"/>
      </w:pPr>
      <w:r>
        <w:t>观测点数据采集、存储设备</w:t>
      </w:r>
      <w:r>
        <w:rPr>
          <w:rFonts w:hint="eastAsia"/>
        </w:rPr>
        <w:t>及设备管理系统宜</w:t>
      </w:r>
      <w:r>
        <w:t>配备不间断电源（UPS）作为应急电源</w:t>
      </w:r>
      <w:r>
        <w:rPr>
          <w:rFonts w:hint="eastAsia"/>
        </w:rPr>
        <w:t>。</w:t>
      </w:r>
    </w:p>
    <w:p w14:paraId="2767354E">
      <w:pPr>
        <w:pStyle w:val="108"/>
        <w:spacing w:before="156" w:after="156"/>
        <w:rPr>
          <w:rFonts w:ascii="Times New Roman"/>
        </w:rPr>
      </w:pPr>
      <w:bookmarkStart w:id="134" w:name="_Toc213852522"/>
      <w:bookmarkStart w:id="135" w:name="_Toc7031"/>
      <w:r>
        <w:rPr>
          <w:rFonts w:ascii="Times New Roman"/>
        </w:rPr>
        <w:t>数据采集</w:t>
      </w:r>
      <w:bookmarkEnd w:id="134"/>
      <w:bookmarkEnd w:id="135"/>
    </w:p>
    <w:p w14:paraId="3D74C123">
      <w:pPr>
        <w:pStyle w:val="168"/>
      </w:pPr>
      <w:r>
        <w:t>传感器数据线、电线在进入观测</w:t>
      </w:r>
      <w:r>
        <w:rPr>
          <w:rFonts w:hint="eastAsia"/>
        </w:rPr>
        <w:t>机柜</w:t>
      </w:r>
      <w:r>
        <w:t>（</w:t>
      </w:r>
      <w:r>
        <w:rPr>
          <w:rFonts w:hint="eastAsia"/>
        </w:rPr>
        <w:t>房</w:t>
      </w:r>
      <w:r>
        <w:t>）前，应采用套管保护。</w:t>
      </w:r>
    </w:p>
    <w:p w14:paraId="43222059">
      <w:pPr>
        <w:pStyle w:val="168"/>
      </w:pPr>
      <w:r>
        <w:t>观测</w:t>
      </w:r>
      <w:r>
        <w:rPr>
          <w:rFonts w:hint="eastAsia"/>
        </w:rPr>
        <w:t>机柜</w:t>
      </w:r>
      <w:r>
        <w:t>（</w:t>
      </w:r>
      <w:r>
        <w:rPr>
          <w:rFonts w:hint="eastAsia"/>
        </w:rPr>
        <w:t>房</w:t>
      </w:r>
      <w:r>
        <w:t>）内的电线、数据线、光纤等线缆应分类捆绑，保持一定间隔，数据线上应注明传感器类型、编号、对应采集设备编号，电线上应注明传感器类型、编号、功率。</w:t>
      </w:r>
    </w:p>
    <w:p w14:paraId="0F3FDEDC">
      <w:pPr>
        <w:pStyle w:val="168"/>
      </w:pPr>
      <w:r>
        <w:t>数据采集器应牢固安装，并</w:t>
      </w:r>
      <w:r>
        <w:rPr>
          <w:rFonts w:hint="eastAsia"/>
        </w:rPr>
        <w:t>宜满足下列条件</w:t>
      </w:r>
      <w:r>
        <w:t>：</w:t>
      </w:r>
    </w:p>
    <w:p w14:paraId="20556050">
      <w:pPr>
        <w:pStyle w:val="168"/>
        <w:numPr>
          <w:ilvl w:val="0"/>
          <w:numId w:val="37"/>
        </w:numPr>
        <w:ind w:left="420"/>
      </w:pPr>
      <w:r>
        <w:t>各类数据采集器采集通道数量，不低于对应传感器数量的120</w:t>
      </w:r>
      <w:r>
        <w:rPr>
          <w:rFonts w:hint="eastAsia"/>
        </w:rPr>
        <w:t xml:space="preserve"> </w:t>
      </w:r>
      <w:r>
        <w:t>%；</w:t>
      </w:r>
    </w:p>
    <w:p w14:paraId="065C8DFF">
      <w:pPr>
        <w:pStyle w:val="168"/>
        <w:numPr>
          <w:ilvl w:val="0"/>
          <w:numId w:val="37"/>
        </w:numPr>
        <w:ind w:left="420"/>
      </w:pPr>
      <w:r>
        <w:t>在数据采集器上放置数据采集通道与传感器</w:t>
      </w:r>
      <w:r>
        <w:rPr>
          <w:rFonts w:hint="eastAsia"/>
        </w:rPr>
        <w:t>出厂</w:t>
      </w:r>
      <w:r>
        <w:t>编号、数据中心编号的对应列表或示意图；</w:t>
      </w:r>
    </w:p>
    <w:p w14:paraId="27C01434">
      <w:pPr>
        <w:pStyle w:val="168"/>
        <w:numPr>
          <w:ilvl w:val="0"/>
          <w:numId w:val="37"/>
        </w:numPr>
        <w:ind w:left="420"/>
      </w:pPr>
      <w:r>
        <w:t>配置防雷接地和屏蔽接地汇流排等安全保障措施。</w:t>
      </w:r>
    </w:p>
    <w:p w14:paraId="0ED3DAF2">
      <w:pPr>
        <w:pStyle w:val="168"/>
      </w:pPr>
      <w:r>
        <w:t>数据采集系统应配置本地存储设备</w:t>
      </w:r>
      <w:r>
        <w:rPr>
          <w:rFonts w:hint="eastAsia"/>
        </w:rPr>
        <w:t>的同时</w:t>
      </w:r>
      <w:r>
        <w:t>，</w:t>
      </w:r>
      <w:r>
        <w:rPr>
          <w:rFonts w:hint="eastAsia"/>
        </w:rPr>
        <w:t>也应具备将数据同步备份至云端或远程数据中心云存储环境的功能，</w:t>
      </w:r>
      <w:r>
        <w:t>存储能力应不少于所采集设备</w:t>
      </w:r>
      <w:r>
        <w:rPr>
          <w:rFonts w:hint="eastAsia"/>
        </w:rPr>
        <w:t>3个月</w:t>
      </w:r>
      <w:r>
        <w:t>的数据量。</w:t>
      </w:r>
    </w:p>
    <w:p w14:paraId="70833766">
      <w:pPr>
        <w:pStyle w:val="108"/>
        <w:spacing w:before="156" w:after="156"/>
        <w:rPr>
          <w:rFonts w:ascii="Times New Roman"/>
        </w:rPr>
      </w:pPr>
      <w:bookmarkStart w:id="136" w:name="_Toc213852523"/>
      <w:r>
        <w:rPr>
          <w:rFonts w:ascii="Times New Roman"/>
        </w:rPr>
        <w:t>人工观测数据录入</w:t>
      </w:r>
      <w:bookmarkEnd w:id="136"/>
    </w:p>
    <w:p w14:paraId="656A3A04">
      <w:pPr>
        <w:pStyle w:val="168"/>
        <w:keepNext w:val="0"/>
        <w:keepLines w:val="0"/>
        <w:pageBreakBefore w:val="0"/>
        <w:widowControl w:val="0"/>
        <w:numPr>
          <w:ilvl w:val="3"/>
          <w:numId w:val="0"/>
        </w:numPr>
        <w:kinsoku/>
        <w:wordWrap/>
        <w:overflowPunct/>
        <w:topLinePunct w:val="0"/>
        <w:autoSpaceDE/>
        <w:autoSpaceDN/>
        <w:bidi w:val="0"/>
        <w:adjustRightInd/>
        <w:snapToGrid/>
        <w:ind w:leftChars="0" w:firstLine="420" w:firstLineChars="200"/>
        <w:textAlignment w:val="auto"/>
      </w:pPr>
      <w:r>
        <w:rPr>
          <w:rFonts w:hint="eastAsia"/>
        </w:rPr>
        <w:t>日常巡检、经常检查等</w:t>
      </w:r>
      <w:r>
        <w:rPr>
          <w:rFonts w:hint="eastAsia"/>
          <w:lang w:val="en-US" w:eastAsia="zh-CN"/>
        </w:rPr>
        <w:t>数据宜</w:t>
      </w:r>
      <w:r>
        <w:rPr>
          <w:rFonts w:hint="eastAsia"/>
        </w:rPr>
        <w:t>上报</w:t>
      </w:r>
      <w:r>
        <w:rPr>
          <w:rFonts w:hint="eastAsia"/>
          <w:lang w:val="en-US" w:eastAsia="zh-CN"/>
        </w:rPr>
        <w:t>至</w:t>
      </w:r>
      <w:r>
        <w:rPr>
          <w:rFonts w:hint="eastAsia"/>
        </w:rPr>
        <w:t>长期性能观测点</w:t>
      </w:r>
      <w:r>
        <w:rPr>
          <w:rFonts w:hint="eastAsia"/>
          <w:lang w:eastAsia="zh-CN"/>
        </w:rPr>
        <w:t>，</w:t>
      </w:r>
      <w:r>
        <w:rPr>
          <w:rFonts w:hint="eastAsia"/>
        </w:rPr>
        <w:t>定期检查、特殊检查等</w:t>
      </w:r>
      <w:r>
        <w:rPr>
          <w:rFonts w:hint="eastAsia"/>
          <w:lang w:val="en-US" w:eastAsia="zh-CN"/>
        </w:rPr>
        <w:t>数据应按时间顺序妥善保存，并将电子版文件与检测结果一并上报至长期性能观测点</w:t>
      </w:r>
      <w:r>
        <w:t>。</w:t>
      </w:r>
    </w:p>
    <w:p w14:paraId="3740A06B">
      <w:pPr>
        <w:pStyle w:val="108"/>
        <w:spacing w:before="156" w:after="156"/>
        <w:rPr>
          <w:rFonts w:ascii="Times New Roman"/>
        </w:rPr>
      </w:pPr>
      <w:bookmarkStart w:id="137" w:name="_Toc23988"/>
      <w:bookmarkStart w:id="138" w:name="_Toc213852524"/>
      <w:r>
        <w:rPr>
          <w:rFonts w:ascii="Times New Roman"/>
        </w:rPr>
        <w:t>数据传输</w:t>
      </w:r>
      <w:bookmarkEnd w:id="137"/>
      <w:bookmarkEnd w:id="138"/>
    </w:p>
    <w:p w14:paraId="336C502F">
      <w:pPr>
        <w:pStyle w:val="168"/>
      </w:pPr>
      <w:r>
        <w:rPr>
          <w:rFonts w:hint="eastAsia"/>
          <w:lang w:val="en-US" w:eastAsia="zh-CN"/>
        </w:rPr>
        <w:t>数据传输</w:t>
      </w:r>
      <w:r>
        <w:rPr>
          <w:rFonts w:hint="eastAsia"/>
        </w:rPr>
        <w:t>宜</w:t>
      </w:r>
      <w:r>
        <w:rPr>
          <w:rFonts w:hint="eastAsia"/>
          <w:lang w:val="en-US" w:eastAsia="zh-CN"/>
        </w:rPr>
        <w:t>优先采用</w:t>
      </w:r>
      <w:r>
        <w:t>有线方式</w:t>
      </w:r>
      <w:r>
        <w:rPr>
          <w:rFonts w:hint="eastAsia"/>
          <w:lang w:eastAsia="zh-CN"/>
        </w:rPr>
        <w:t>；</w:t>
      </w:r>
      <w:r>
        <w:rPr>
          <w:rFonts w:hint="eastAsia"/>
          <w:lang w:val="en-US" w:eastAsia="zh-CN"/>
        </w:rPr>
        <w:t>采用</w:t>
      </w:r>
      <w:r>
        <w:t>无线方式时，数据传输装置</w:t>
      </w:r>
      <w:r>
        <w:rPr>
          <w:rFonts w:hint="eastAsia"/>
          <w:lang w:val="en-US" w:eastAsia="zh-CN"/>
        </w:rPr>
        <w:t>应</w:t>
      </w:r>
      <w:r>
        <w:t>重点考虑防雷、防雨雪</w:t>
      </w:r>
      <w:r>
        <w:rPr>
          <w:rFonts w:hint="eastAsia"/>
          <w:lang w:val="en-US" w:eastAsia="zh-CN"/>
        </w:rPr>
        <w:t>等防护设计，</w:t>
      </w:r>
      <w:r>
        <w:t>并保证</w:t>
      </w:r>
      <w:r>
        <w:rPr>
          <w:rFonts w:hint="eastAsia"/>
          <w:lang w:val="en-US" w:eastAsia="zh-CN"/>
        </w:rPr>
        <w:t>数据传输</w:t>
      </w:r>
      <w:r>
        <w:t>流量充足。</w:t>
      </w:r>
    </w:p>
    <w:p w14:paraId="5D4CD777">
      <w:pPr>
        <w:pStyle w:val="168"/>
      </w:pPr>
      <w:r>
        <w:rPr>
          <w:rFonts w:hint="eastAsia"/>
        </w:rPr>
        <w:t>当数据存储量接近存储能力上限的80%时，上传一部分数据至云端。</w:t>
      </w:r>
    </w:p>
    <w:p w14:paraId="67F2D981">
      <w:pPr>
        <w:pStyle w:val="107"/>
        <w:spacing w:before="312" w:after="312"/>
        <w:rPr>
          <w:rFonts w:ascii="Times New Roman"/>
        </w:rPr>
      </w:pPr>
      <w:bookmarkStart w:id="139" w:name="_Toc213852545"/>
      <w:bookmarkStart w:id="140" w:name="_Toc23614"/>
      <w:r>
        <w:rPr>
          <w:rFonts w:ascii="Times New Roman"/>
        </w:rPr>
        <w:t>数据中心建设</w:t>
      </w:r>
      <w:bookmarkEnd w:id="139"/>
      <w:bookmarkEnd w:id="140"/>
    </w:p>
    <w:p w14:paraId="6A8F0B91">
      <w:pPr>
        <w:pStyle w:val="108"/>
        <w:spacing w:before="156" w:after="156"/>
      </w:pPr>
      <w:bookmarkStart w:id="141" w:name="_Toc213852546"/>
      <w:bookmarkStart w:id="142" w:name="_Toc8657"/>
      <w:r>
        <w:rPr>
          <w:rFonts w:ascii="Times New Roman"/>
        </w:rPr>
        <w:t>一般要求</w:t>
      </w:r>
      <w:bookmarkEnd w:id="141"/>
      <w:bookmarkEnd w:id="142"/>
      <w:bookmarkStart w:id="143" w:name="_Toc213852547"/>
      <w:bookmarkEnd w:id="143"/>
    </w:p>
    <w:p w14:paraId="0CBBB47D">
      <w:pPr>
        <w:pStyle w:val="168"/>
        <w:numPr>
          <w:ilvl w:val="0"/>
          <w:numId w:val="0"/>
        </w:numPr>
        <w:ind w:firstLine="420" w:firstLineChars="200"/>
      </w:pPr>
      <w:r>
        <w:t>数据中心</w:t>
      </w:r>
      <w:r>
        <w:rPr>
          <w:rFonts w:hint="eastAsia"/>
        </w:rPr>
        <w:t>应</w:t>
      </w:r>
      <w:r>
        <w:t>制定专用的数据采集标准</w:t>
      </w:r>
      <w:r>
        <w:rPr>
          <w:rFonts w:hint="eastAsia"/>
        </w:rPr>
        <w:t>，定期汇集</w:t>
      </w:r>
      <w:r>
        <w:t>各</w:t>
      </w:r>
      <w:r>
        <w:rPr>
          <w:rFonts w:hint="eastAsia"/>
        </w:rPr>
        <w:t>长期性能</w:t>
      </w:r>
      <w:r>
        <w:t>观测点的观测数据，</w:t>
      </w:r>
      <w:r>
        <w:rPr>
          <w:rFonts w:hint="eastAsia"/>
        </w:rPr>
        <w:t>并对数据</w:t>
      </w:r>
      <w:r>
        <w:t>进行预处理、规范存储</w:t>
      </w:r>
      <w:r>
        <w:rPr>
          <w:rFonts w:hint="eastAsia"/>
        </w:rPr>
        <w:t>、</w:t>
      </w:r>
      <w:r>
        <w:t>管理</w:t>
      </w:r>
      <w:r>
        <w:rPr>
          <w:rFonts w:hint="eastAsia"/>
        </w:rPr>
        <w:t>、</w:t>
      </w:r>
      <w:r>
        <w:t>展示以及开放共享。</w:t>
      </w:r>
    </w:p>
    <w:p w14:paraId="1807C7B9">
      <w:pPr>
        <w:pStyle w:val="108"/>
        <w:spacing w:before="156" w:after="156"/>
        <w:rPr>
          <w:rFonts w:ascii="Times New Roman"/>
        </w:rPr>
      </w:pPr>
      <w:bookmarkStart w:id="144" w:name="_Toc27185"/>
      <w:bookmarkStart w:id="145" w:name="_Toc213852548"/>
      <w:r>
        <w:rPr>
          <w:rFonts w:ascii="Times New Roman"/>
        </w:rPr>
        <w:t>硬件建设</w:t>
      </w:r>
      <w:bookmarkEnd w:id="144"/>
      <w:bookmarkEnd w:id="145"/>
    </w:p>
    <w:p w14:paraId="7D85D367">
      <w:pPr>
        <w:pStyle w:val="168"/>
      </w:pPr>
      <w:r>
        <w:t>数据中心机房及设施设备建设应符合下列要求：</w:t>
      </w:r>
    </w:p>
    <w:p w14:paraId="120C1666">
      <w:pPr>
        <w:pStyle w:val="168"/>
        <w:numPr>
          <w:ilvl w:val="0"/>
          <w:numId w:val="38"/>
        </w:numPr>
        <w:ind w:left="420"/>
      </w:pPr>
      <w:r>
        <w:t>满足GB 50174中C级或以上数据中心建设要求；</w:t>
      </w:r>
    </w:p>
    <w:p w14:paraId="74C403D2">
      <w:pPr>
        <w:pStyle w:val="168"/>
        <w:numPr>
          <w:ilvl w:val="0"/>
          <w:numId w:val="38"/>
        </w:numPr>
        <w:ind w:left="420"/>
      </w:pPr>
      <w:r>
        <w:t>满足GB/T 22239中二级或以上网络安全等级保护要求。</w:t>
      </w:r>
    </w:p>
    <w:p w14:paraId="1ED3750B">
      <w:pPr>
        <w:pStyle w:val="168"/>
      </w:pPr>
      <w:r>
        <w:t>服务器应包括双备份数据库服务器和应用服务器，并</w:t>
      </w:r>
      <w:r>
        <w:rPr>
          <w:rFonts w:hint="eastAsia"/>
        </w:rPr>
        <w:t>考虑以下因素</w:t>
      </w:r>
      <w:r>
        <w:t>：</w:t>
      </w:r>
    </w:p>
    <w:p w14:paraId="313DF440">
      <w:pPr>
        <w:pStyle w:val="168"/>
        <w:numPr>
          <w:ilvl w:val="0"/>
          <w:numId w:val="39"/>
        </w:numPr>
        <w:ind w:left="420"/>
      </w:pPr>
      <w:r>
        <w:t>双备份服务器采用实体服务器；</w:t>
      </w:r>
    </w:p>
    <w:p w14:paraId="30CFF924">
      <w:pPr>
        <w:pStyle w:val="168"/>
        <w:numPr>
          <w:ilvl w:val="0"/>
          <w:numId w:val="39"/>
        </w:numPr>
        <w:ind w:left="420"/>
      </w:pPr>
      <w:r>
        <w:t>应用服务器采用实体服务器或云平台。</w:t>
      </w:r>
    </w:p>
    <w:p w14:paraId="3595B544">
      <w:pPr>
        <w:pStyle w:val="168"/>
      </w:pPr>
      <w:r>
        <w:t>通信设备应根据实际需求进行网络结构组件、网段划分以及网络安全管理。</w:t>
      </w:r>
    </w:p>
    <w:p w14:paraId="4B57CDB7">
      <w:pPr>
        <w:pStyle w:val="168"/>
      </w:pPr>
      <w:r>
        <w:t>网络安全设备应包括硬件防火墙、入侵检测、日志审计等。</w:t>
      </w:r>
    </w:p>
    <w:p w14:paraId="027BC16C">
      <w:pPr>
        <w:pStyle w:val="168"/>
      </w:pPr>
      <w:r>
        <w:t>存储设备应保证在线双备份，离线单备份，且核心数据应增加异地备份、访问权限控制机制。</w:t>
      </w:r>
    </w:p>
    <w:p w14:paraId="4DE03BAC">
      <w:pPr>
        <w:pStyle w:val="168"/>
      </w:pPr>
      <w:r>
        <w:t>数据中心首期建设容量</w:t>
      </w:r>
      <w:r>
        <w:rPr>
          <w:rFonts w:hint="eastAsia"/>
          <w:lang w:val="en-US" w:eastAsia="zh-CN"/>
        </w:rPr>
        <w:t>宜根据</w:t>
      </w:r>
      <w:r>
        <w:t>所有观测点年数据量的</w:t>
      </w:r>
      <w:r>
        <w:rPr>
          <w:rFonts w:hint="eastAsia"/>
        </w:rPr>
        <w:t>3~5</w:t>
      </w:r>
      <w:r>
        <w:t>倍</w:t>
      </w:r>
      <w:r>
        <w:rPr>
          <w:rFonts w:hint="eastAsia"/>
          <w:lang w:val="en-US" w:eastAsia="zh-CN"/>
        </w:rPr>
        <w:t>规划</w:t>
      </w:r>
      <w:r>
        <w:t>设计，</w:t>
      </w:r>
      <w:r>
        <w:rPr>
          <w:rFonts w:hint="eastAsia"/>
          <w:lang w:val="en-US" w:eastAsia="zh-CN"/>
        </w:rPr>
        <w:t>应支持扩展能力，</w:t>
      </w:r>
      <w:r>
        <w:t>在运行过程中根据实际需求</w:t>
      </w:r>
      <w:r>
        <w:rPr>
          <w:rFonts w:hint="eastAsia"/>
          <w:lang w:val="en-US" w:eastAsia="zh-CN"/>
        </w:rPr>
        <w:t>动态</w:t>
      </w:r>
      <w:r>
        <w:t>增加容量。</w:t>
      </w:r>
    </w:p>
    <w:p w14:paraId="60B7FAD7">
      <w:pPr>
        <w:pStyle w:val="168"/>
      </w:pPr>
      <w:r>
        <w:rPr>
          <w:rFonts w:hint="eastAsia"/>
        </w:rPr>
        <w:t>应建立数据分级存储策略，将高频采集的原始数据、中间处理数据、长期归档数据分别存储。</w:t>
      </w:r>
    </w:p>
    <w:p w14:paraId="0D1EE333">
      <w:pPr>
        <w:pStyle w:val="108"/>
        <w:spacing w:before="156" w:after="156"/>
        <w:rPr>
          <w:rFonts w:ascii="Times New Roman"/>
        </w:rPr>
      </w:pPr>
      <w:bookmarkStart w:id="146" w:name="_Toc213852549"/>
      <w:bookmarkStart w:id="147" w:name="_Toc26402"/>
      <w:r>
        <w:rPr>
          <w:rFonts w:ascii="Times New Roman"/>
        </w:rPr>
        <w:t>软件建设</w:t>
      </w:r>
      <w:bookmarkEnd w:id="146"/>
      <w:bookmarkEnd w:id="147"/>
    </w:p>
    <w:p w14:paraId="74FEE4E1">
      <w:pPr>
        <w:pStyle w:val="168"/>
      </w:pPr>
      <w:r>
        <w:t>软件应通过GB/T 22239中二级</w:t>
      </w:r>
      <w:r>
        <w:rPr>
          <w:rFonts w:hint="eastAsia"/>
        </w:rPr>
        <w:t>及</w:t>
      </w:r>
      <w:r>
        <w:t>以上网络安全等级保护评测。</w:t>
      </w:r>
    </w:p>
    <w:p w14:paraId="27983CE0">
      <w:pPr>
        <w:pStyle w:val="168"/>
      </w:pPr>
      <w:r>
        <w:rPr>
          <w:rFonts w:hint="eastAsia"/>
        </w:rPr>
        <w:t>观测点软件应具备原始数据自动汇交功能，支持按照统一的数据格式、编码规则和传输协议，将数据推送至上一级数据中心。</w:t>
      </w:r>
    </w:p>
    <w:p w14:paraId="50AF3939">
      <w:pPr>
        <w:pStyle w:val="168"/>
      </w:pPr>
      <w:r>
        <w:rPr>
          <w:rFonts w:hint="eastAsia"/>
        </w:rPr>
        <w:t>数据中心软件应具备元数据管理、原始数据存储与备份功能，并能够对外提供标准化的数据服务接口，支持第三方系统或上级平台的数据查询与共享。</w:t>
      </w:r>
    </w:p>
    <w:p w14:paraId="719F8545">
      <w:pPr>
        <w:pStyle w:val="168"/>
      </w:pPr>
      <w:r>
        <w:rPr>
          <w:rFonts w:hint="eastAsia"/>
        </w:rPr>
        <w:t>数据汇交过程中，应包含数据质量标识，确保数据接收方能够识别数据的可信度。</w:t>
      </w:r>
    </w:p>
    <w:p w14:paraId="0FC899E3">
      <w:pPr>
        <w:pStyle w:val="107"/>
        <w:spacing w:before="312" w:after="312"/>
        <w:rPr>
          <w:rFonts w:ascii="Times New Roman"/>
        </w:rPr>
      </w:pPr>
      <w:bookmarkStart w:id="148" w:name="_Toc213852550"/>
      <w:bookmarkStart w:id="149" w:name="_Toc19064"/>
      <w:r>
        <w:rPr>
          <w:rFonts w:ascii="Times New Roman"/>
        </w:rPr>
        <w:t>验收与维护</w:t>
      </w:r>
      <w:bookmarkEnd w:id="148"/>
      <w:bookmarkEnd w:id="149"/>
    </w:p>
    <w:p w14:paraId="1DC449A5">
      <w:pPr>
        <w:pStyle w:val="108"/>
        <w:spacing w:before="156" w:after="156"/>
        <w:rPr>
          <w:rFonts w:ascii="Times New Roman"/>
        </w:rPr>
      </w:pPr>
      <w:bookmarkStart w:id="150" w:name="_Toc213852556"/>
      <w:bookmarkStart w:id="151" w:name="_Toc16531"/>
      <w:r>
        <w:rPr>
          <w:rFonts w:ascii="Times New Roman"/>
        </w:rPr>
        <w:t>验收</w:t>
      </w:r>
      <w:bookmarkEnd w:id="150"/>
      <w:bookmarkEnd w:id="151"/>
    </w:p>
    <w:p w14:paraId="0E4A10EB">
      <w:pPr>
        <w:pStyle w:val="168"/>
        <w:numPr>
          <w:ilvl w:val="0"/>
          <w:numId w:val="0"/>
        </w:numPr>
        <w:ind w:firstLine="420" w:firstLineChars="200"/>
      </w:pPr>
      <w:r>
        <w:t>长期性能观测点、数据中心</w:t>
      </w:r>
      <w:r>
        <w:rPr>
          <w:rFonts w:hint="eastAsia"/>
        </w:rPr>
        <w:t>的试运行、验收应符合JT/T1504.1中的相关规定</w:t>
      </w:r>
      <w:r>
        <w:t>。</w:t>
      </w:r>
    </w:p>
    <w:p w14:paraId="4A77AFE8">
      <w:pPr>
        <w:pStyle w:val="108"/>
        <w:spacing w:before="156" w:after="156"/>
        <w:rPr>
          <w:rFonts w:ascii="Times New Roman"/>
        </w:rPr>
      </w:pPr>
      <w:bookmarkStart w:id="152" w:name="_Toc29412"/>
      <w:bookmarkStart w:id="153" w:name="_Toc213852557"/>
      <w:r>
        <w:rPr>
          <w:rFonts w:ascii="Times New Roman"/>
        </w:rPr>
        <w:t>维护</w:t>
      </w:r>
      <w:bookmarkEnd w:id="152"/>
      <w:bookmarkEnd w:id="153"/>
    </w:p>
    <w:p w14:paraId="6CA43B62">
      <w:pPr>
        <w:pStyle w:val="168"/>
      </w:pPr>
      <w:r>
        <w:t>日常、定期和专项巡检制度</w:t>
      </w:r>
      <w:r>
        <w:rPr>
          <w:rFonts w:hint="eastAsia"/>
        </w:rPr>
        <w:t>应符合JT/T1504.1中的相关规定，并</w:t>
      </w:r>
      <w:r>
        <w:rPr>
          <w:rFonts w:hint="eastAsia"/>
          <w:lang w:val="en-US" w:eastAsia="zh-CN"/>
        </w:rPr>
        <w:t>应</w:t>
      </w:r>
      <w:r>
        <w:rPr>
          <w:rFonts w:hint="eastAsia"/>
        </w:rPr>
        <w:t>满足下列要求：</w:t>
      </w:r>
    </w:p>
    <w:p w14:paraId="73871237">
      <w:pPr>
        <w:pStyle w:val="168"/>
        <w:numPr>
          <w:ilvl w:val="0"/>
          <w:numId w:val="40"/>
        </w:numPr>
        <w:ind w:left="420"/>
      </w:pPr>
      <w:r>
        <w:rPr>
          <w:rFonts w:hint="eastAsia"/>
          <w:lang w:val="en-US" w:eastAsia="zh-CN"/>
        </w:rPr>
        <w:t>对</w:t>
      </w:r>
      <w:r>
        <w:t>观测设备和传感器</w:t>
      </w:r>
      <w:r>
        <w:rPr>
          <w:rFonts w:hint="eastAsia"/>
          <w:lang w:val="en-US" w:eastAsia="zh-CN"/>
        </w:rPr>
        <w:t>进行</w:t>
      </w:r>
      <w:r>
        <w:t>检定或校准</w:t>
      </w:r>
      <w:r>
        <w:rPr>
          <w:rFonts w:hint="eastAsia"/>
          <w:lang w:eastAsia="zh-CN"/>
        </w:rPr>
        <w:t>，发现传感器数据漂移或异常时应及时分析原因，对漂移超限的传感器进行重新校准或更换，并对历史数据进行回溯修正标注</w:t>
      </w:r>
      <w:r>
        <w:t>；</w:t>
      </w:r>
    </w:p>
    <w:p w14:paraId="1FD2AC50">
      <w:pPr>
        <w:pStyle w:val="168"/>
        <w:numPr>
          <w:ilvl w:val="0"/>
          <w:numId w:val="40"/>
        </w:numPr>
        <w:ind w:left="420"/>
      </w:pPr>
      <w:r>
        <w:rPr>
          <w:rFonts w:hint="eastAsia"/>
        </w:rPr>
        <w:t>通过与相邻传感器数据比对、与历史趋势线比对或与便携式参考仪器现场比对等方式</w:t>
      </w:r>
      <w:r>
        <w:rPr>
          <w:rFonts w:hint="eastAsia"/>
          <w:lang w:val="en-US" w:eastAsia="zh-CN"/>
        </w:rPr>
        <w:t>对</w:t>
      </w:r>
      <w:r>
        <w:t>各类传感器</w:t>
      </w:r>
      <w:r>
        <w:rPr>
          <w:rFonts w:hint="eastAsia"/>
          <w:lang w:val="en-US" w:eastAsia="zh-CN"/>
        </w:rPr>
        <w:t>进行</w:t>
      </w:r>
      <w:r>
        <w:t>性能验证与数据可靠性验证。</w:t>
      </w:r>
    </w:p>
    <w:p w14:paraId="434A5E49">
      <w:pPr>
        <w:pStyle w:val="168"/>
        <w:numPr>
          <w:ilvl w:val="0"/>
          <w:numId w:val="40"/>
        </w:numPr>
        <w:ind w:left="420"/>
      </w:pPr>
      <w:r>
        <w:rPr>
          <w:rFonts w:hint="eastAsia"/>
          <w:lang w:val="en-US" w:eastAsia="zh-CN"/>
        </w:rPr>
        <w:t>关键受力、位移传感器、环境类传感器应每12个月校准一次。</w:t>
      </w:r>
    </w:p>
    <w:p w14:paraId="7798BF53">
      <w:pPr>
        <w:pStyle w:val="168"/>
      </w:pPr>
      <w:r>
        <w:t>经常出现恶劣天气的地区</w:t>
      </w:r>
      <w:r>
        <w:rPr>
          <w:rFonts w:hint="eastAsia"/>
        </w:rPr>
        <w:t>，</w:t>
      </w:r>
      <w:r>
        <w:t>应对避雷设备、传感器线缆、气象杆等增加检查频次。</w:t>
      </w:r>
    </w:p>
    <w:p w14:paraId="77E06D51">
      <w:pPr>
        <w:pStyle w:val="168"/>
      </w:pPr>
      <w:r>
        <w:t>观测对象的维修或养护应在数据中心进行备案</w:t>
      </w:r>
      <w:r>
        <w:rPr>
          <w:rFonts w:hint="eastAsia"/>
        </w:rPr>
        <w:t>，并</w:t>
      </w:r>
      <w:r>
        <w:t>确保长期性能观测数据的连续性和真实性。</w:t>
      </w:r>
    </w:p>
    <w:p w14:paraId="77CEBB20">
      <w:pPr>
        <w:pStyle w:val="168"/>
      </w:pPr>
      <w:r>
        <w:t>观测点硬件、软件的更换、维修与升级符合下列要求：</w:t>
      </w:r>
    </w:p>
    <w:p w14:paraId="50EDC0D2">
      <w:pPr>
        <w:pStyle w:val="168"/>
        <w:numPr>
          <w:ilvl w:val="0"/>
          <w:numId w:val="41"/>
        </w:numPr>
        <w:ind w:left="420"/>
      </w:pPr>
      <w:r>
        <w:t>保障监测数据的连续；</w:t>
      </w:r>
    </w:p>
    <w:p w14:paraId="4C0B1E6A">
      <w:pPr>
        <w:pStyle w:val="168"/>
        <w:numPr>
          <w:ilvl w:val="0"/>
          <w:numId w:val="41"/>
        </w:numPr>
        <w:ind w:left="420"/>
      </w:pPr>
      <w:r>
        <w:t>观测设备的更换使用同</w:t>
      </w:r>
      <w:r>
        <w:rPr>
          <w:rFonts w:hint="eastAsia"/>
        </w:rPr>
        <w:t>性能</w:t>
      </w:r>
      <w:r>
        <w:t>设备原位更换。</w:t>
      </w:r>
    </w:p>
    <w:bookmarkEnd w:id="89"/>
    <w:p w14:paraId="459E3D50">
      <w:pPr>
        <w:pStyle w:val="107"/>
        <w:spacing w:before="312" w:after="312"/>
        <w:rPr>
          <w:rFonts w:ascii="Times New Roman"/>
        </w:rPr>
      </w:pPr>
      <w:bookmarkStart w:id="154" w:name="_Toc24376"/>
      <w:bookmarkStart w:id="155" w:name="_Toc139963577"/>
      <w:bookmarkStart w:id="156" w:name="_Toc21552"/>
      <w:bookmarkStart w:id="157" w:name="_Toc10915"/>
      <w:r>
        <w:rPr>
          <w:rFonts w:hint="eastAsia" w:ascii="Times New Roman"/>
          <w:lang w:val="en-US" w:eastAsia="zh-CN"/>
        </w:rPr>
        <w:t>检验与证实方法</w:t>
      </w:r>
      <w:bookmarkEnd w:id="154"/>
    </w:p>
    <w:p w14:paraId="60CC6A6B">
      <w:pPr>
        <w:pStyle w:val="108"/>
        <w:spacing w:before="156" w:after="156"/>
        <w:rPr>
          <w:rFonts w:hint="eastAsia" w:ascii="Times New Roman"/>
        </w:rPr>
      </w:pPr>
      <w:r>
        <w:rPr>
          <w:rFonts w:hint="eastAsia" w:ascii="Times New Roman"/>
        </w:rPr>
        <w:t>一般规定</w:t>
      </w:r>
    </w:p>
    <w:p w14:paraId="7C6A7971">
      <w:pPr>
        <w:pStyle w:val="168"/>
        <w:rPr>
          <w:rFonts w:hint="eastAsia"/>
        </w:rPr>
      </w:pPr>
      <w:r>
        <w:rPr>
          <w:rFonts w:hint="eastAsia"/>
        </w:rPr>
        <w:t>为验证本文件第4章至第10章中各项“要求”的符合性，应按本章规定的方法进行检验。</w:t>
      </w:r>
    </w:p>
    <w:p w14:paraId="5D59014A">
      <w:pPr>
        <w:pStyle w:val="168"/>
        <w:rPr>
          <w:rFonts w:hint="eastAsia"/>
        </w:rPr>
      </w:pPr>
      <w:r>
        <w:rPr>
          <w:rFonts w:hint="eastAsia"/>
        </w:rPr>
        <w:t>证实方法包括文件审查、现场检查、性能测试、记录核查和系统联调等</w:t>
      </w:r>
      <w:r>
        <w:rPr>
          <w:rFonts w:hint="eastAsia"/>
          <w:lang w:eastAsia="zh-CN"/>
        </w:rPr>
        <w:t>，</w:t>
      </w:r>
      <w:r>
        <w:rPr>
          <w:rFonts w:hint="eastAsia"/>
        </w:rPr>
        <w:t>所有检验记录应归档保存。</w:t>
      </w:r>
    </w:p>
    <w:p w14:paraId="581E4750">
      <w:pPr>
        <w:pStyle w:val="108"/>
        <w:spacing w:before="156" w:after="156"/>
        <w:rPr>
          <w:rFonts w:hint="eastAsia" w:ascii="Times New Roman"/>
        </w:rPr>
      </w:pPr>
      <w:r>
        <w:rPr>
          <w:rFonts w:hint="eastAsia" w:ascii="Times New Roman"/>
        </w:rPr>
        <w:t>总体要求的证实方法</w:t>
      </w:r>
    </w:p>
    <w:p w14:paraId="2BA42838">
      <w:pPr>
        <w:pStyle w:val="168"/>
        <w:rPr>
          <w:rFonts w:hint="eastAsia"/>
          <w:lang w:val="en-US" w:eastAsia="zh-CN"/>
        </w:rPr>
      </w:pPr>
      <w:r>
        <w:rPr>
          <w:rFonts w:hint="eastAsia"/>
          <w:lang w:val="en-US" w:eastAsia="zh-CN"/>
        </w:rPr>
        <w:t>传感器选型与布设：</w:t>
      </w:r>
    </w:p>
    <w:p w14:paraId="514B34F8">
      <w:pPr>
        <w:pStyle w:val="168"/>
        <w:numPr>
          <w:ilvl w:val="0"/>
          <w:numId w:val="42"/>
        </w:numPr>
        <w:ind w:left="420" w:leftChars="0"/>
        <w:rPr>
          <w:rFonts w:hint="eastAsia"/>
        </w:rPr>
      </w:pPr>
      <w:r>
        <w:rPr>
          <w:rFonts w:hint="eastAsia"/>
          <w:lang w:val="en-US" w:eastAsia="zh-CN"/>
        </w:rPr>
        <w:t>应</w:t>
      </w:r>
      <w:r>
        <w:rPr>
          <w:rFonts w:hint="eastAsia"/>
        </w:rPr>
        <w:t>查阅传感器选型报告、产品说明书、出厂合格证及校准证书，确认其精度、量程、分辨率等参数满足预设观测项目要求。</w:t>
      </w:r>
    </w:p>
    <w:p w14:paraId="789FB483">
      <w:pPr>
        <w:pStyle w:val="168"/>
        <w:numPr>
          <w:ilvl w:val="0"/>
          <w:numId w:val="42"/>
        </w:numPr>
        <w:ind w:left="420" w:leftChars="0" w:firstLine="0" w:firstLineChars="0"/>
        <w:rPr>
          <w:rFonts w:hint="eastAsia"/>
        </w:rPr>
      </w:pPr>
      <w:r>
        <w:rPr>
          <w:rFonts w:hint="eastAsia"/>
          <w:lang w:val="en-US" w:eastAsia="zh-CN"/>
        </w:rPr>
        <w:t>应</w:t>
      </w:r>
      <w:r>
        <w:rPr>
          <w:rFonts w:hint="eastAsia"/>
        </w:rPr>
        <w:t>现场检查传感器安装方式，确认牢固可靠，防水、防腐、</w:t>
      </w:r>
      <w:r>
        <w:rPr>
          <w:rFonts w:hint="eastAsia"/>
          <w:lang w:val="en-US" w:eastAsia="zh-CN"/>
        </w:rPr>
        <w:t>生物防护</w:t>
      </w:r>
      <w:r>
        <w:rPr>
          <w:rFonts w:hint="eastAsia"/>
        </w:rPr>
        <w:t>等防护措施到位。</w:t>
      </w:r>
    </w:p>
    <w:p w14:paraId="219523C7">
      <w:pPr>
        <w:pStyle w:val="168"/>
        <w:rPr>
          <w:rFonts w:hint="eastAsia" w:ascii="Times New Roman"/>
        </w:rPr>
      </w:pPr>
      <w:r>
        <w:rPr>
          <w:rFonts w:hint="eastAsia"/>
          <w:lang w:val="en-US" w:eastAsia="zh-CN"/>
        </w:rPr>
        <w:t>传感器完好率与冗余布设：</w:t>
      </w:r>
      <w:r>
        <w:rPr>
          <w:rFonts w:hint="eastAsia" w:ascii="Times New Roman"/>
        </w:rPr>
        <w:t>通过设备管理系统查询传感器在线状态及历史故障记录</w:t>
      </w:r>
      <w:r>
        <w:rPr>
          <w:rFonts w:hint="eastAsia"/>
          <w:lang w:eastAsia="zh-CN"/>
        </w:rPr>
        <w:t>，</w:t>
      </w:r>
      <w:r>
        <w:rPr>
          <w:rFonts w:hint="eastAsia" w:ascii="Times New Roman"/>
        </w:rPr>
        <w:t>统计年度内各类型传感器的完好率，并核查冗余传感器的布设方案及自动切换逻辑。</w:t>
      </w:r>
    </w:p>
    <w:p w14:paraId="5FF2A4FD">
      <w:pPr>
        <w:pStyle w:val="168"/>
        <w:rPr>
          <w:rFonts w:hint="eastAsia" w:ascii="Times New Roman"/>
        </w:rPr>
      </w:pPr>
      <w:r>
        <w:rPr>
          <w:rFonts w:hint="eastAsia" w:ascii="Times New Roman"/>
        </w:rPr>
        <w:t>时间同步技术</w:t>
      </w:r>
      <w:r>
        <w:rPr>
          <w:rFonts w:hint="eastAsia"/>
          <w:lang w:val="en-US" w:eastAsia="zh-CN"/>
        </w:rPr>
        <w:t>：</w:t>
      </w:r>
      <w:r>
        <w:rPr>
          <w:rFonts w:hint="eastAsia" w:ascii="Times New Roman"/>
        </w:rPr>
        <w:t>检查数据采集系统的时间同步配置，确认其采用北斗卫星导航系统或其它高精度技术</w:t>
      </w:r>
      <w:r>
        <w:rPr>
          <w:rFonts w:hint="eastAsia"/>
          <w:lang w:eastAsia="zh-CN"/>
        </w:rPr>
        <w:t>，</w:t>
      </w:r>
      <w:r>
        <w:rPr>
          <w:rFonts w:hint="eastAsia" w:ascii="Times New Roman"/>
        </w:rPr>
        <w:t>通过数据分析或日志，验证不同设备数据时间戳的同步误差应符合设计要求。</w:t>
      </w:r>
    </w:p>
    <w:p w14:paraId="3A68C9C8">
      <w:pPr>
        <w:pStyle w:val="168"/>
        <w:rPr>
          <w:rFonts w:hint="eastAsia" w:ascii="Times New Roman"/>
        </w:rPr>
      </w:pPr>
      <w:r>
        <w:rPr>
          <w:rFonts w:hint="eastAsia" w:ascii="Times New Roman"/>
        </w:rPr>
        <w:t>数据采集与</w:t>
      </w:r>
      <w:r>
        <w:rPr>
          <w:rFonts w:hint="eastAsia"/>
          <w:lang w:val="en-US" w:eastAsia="zh-CN"/>
        </w:rPr>
        <w:t>传输</w:t>
      </w:r>
      <w:r>
        <w:rPr>
          <w:rFonts w:hint="eastAsia" w:ascii="Times New Roman"/>
        </w:rPr>
        <w:t>系统功能</w:t>
      </w:r>
      <w:r>
        <w:rPr>
          <w:rFonts w:hint="eastAsia"/>
          <w:lang w:val="en-US" w:eastAsia="zh-CN"/>
        </w:rPr>
        <w:t>：</w:t>
      </w:r>
    </w:p>
    <w:p w14:paraId="23C51D90">
      <w:pPr>
        <w:pStyle w:val="168"/>
        <w:numPr>
          <w:ilvl w:val="0"/>
          <w:numId w:val="43"/>
        </w:numPr>
        <w:ind w:left="420" w:leftChars="0"/>
        <w:rPr>
          <w:rFonts w:hint="eastAsia"/>
          <w:lang w:val="en-US" w:eastAsia="zh-CN"/>
        </w:rPr>
      </w:pPr>
      <w:r>
        <w:rPr>
          <w:rFonts w:hint="eastAsia"/>
          <w:lang w:val="en-US" w:eastAsia="zh-CN"/>
        </w:rPr>
        <w:t>模拟传感器故障、通信中断等异常情况，验证系统远程监控、配置、诊断和故障报警功能的响应情况。</w:t>
      </w:r>
    </w:p>
    <w:p w14:paraId="2BFAC6E7">
      <w:pPr>
        <w:pStyle w:val="168"/>
        <w:numPr>
          <w:ilvl w:val="0"/>
          <w:numId w:val="43"/>
        </w:numPr>
        <w:ind w:left="420" w:leftChars="0" w:firstLine="0" w:firstLineChars="0"/>
        <w:rPr>
          <w:rFonts w:hint="eastAsia"/>
          <w:lang w:val="en-US" w:eastAsia="zh-CN"/>
        </w:rPr>
      </w:pPr>
      <w:r>
        <w:rPr>
          <w:rFonts w:hint="eastAsia"/>
          <w:lang w:val="en-US" w:eastAsia="zh-CN"/>
        </w:rPr>
        <w:t>查阅数据质量控制方案，确认其包含全流程管控、标准化规范等内容。</w:t>
      </w:r>
    </w:p>
    <w:p w14:paraId="0510923B">
      <w:pPr>
        <w:pStyle w:val="168"/>
        <w:rPr>
          <w:rFonts w:hint="eastAsia" w:ascii="Times New Roman"/>
        </w:rPr>
      </w:pPr>
      <w:r>
        <w:rPr>
          <w:rFonts w:hint="eastAsia" w:ascii="Times New Roman"/>
        </w:rPr>
        <w:t>专项观测方案</w:t>
      </w:r>
      <w:r>
        <w:rPr>
          <w:rFonts w:hint="eastAsia"/>
          <w:lang w:eastAsia="zh-CN"/>
        </w:rPr>
        <w:t>：</w:t>
      </w:r>
      <w:r>
        <w:rPr>
          <w:rFonts w:hint="eastAsia" w:ascii="Times New Roman"/>
        </w:rPr>
        <w:t>查阅针对采空区、高烈度地震区等特殊环境的专项观测方案，确认其包含了风险源分析、性能退化模式、观测重点项目、关键参数及测点布设位置等核心内容。</w:t>
      </w:r>
    </w:p>
    <w:p w14:paraId="6D14D294">
      <w:pPr>
        <w:pStyle w:val="168"/>
        <w:rPr>
          <w:rFonts w:hint="eastAsia" w:ascii="Times New Roman"/>
        </w:rPr>
      </w:pPr>
      <w:r>
        <w:rPr>
          <w:rFonts w:hint="eastAsia" w:ascii="Times New Roman"/>
        </w:rPr>
        <w:t>建设方案交通影响与施工安全</w:t>
      </w:r>
      <w:r>
        <w:rPr>
          <w:rFonts w:hint="eastAsia"/>
          <w:lang w:eastAsia="zh-CN"/>
        </w:rPr>
        <w:t>：</w:t>
      </w:r>
      <w:r>
        <w:rPr>
          <w:rFonts w:hint="eastAsia" w:ascii="Times New Roman"/>
        </w:rPr>
        <w:t>查阅施工与安装组织方案，确认包含交通导改、安全围护、应急预案等内容</w:t>
      </w:r>
      <w:r>
        <w:rPr>
          <w:rFonts w:hint="eastAsia"/>
          <w:lang w:eastAsia="zh-CN"/>
        </w:rPr>
        <w:t>，</w:t>
      </w:r>
      <w:r>
        <w:rPr>
          <w:rFonts w:hint="eastAsia" w:ascii="Times New Roman"/>
        </w:rPr>
        <w:t>现场检查防护措施落实情况。</w:t>
      </w:r>
    </w:p>
    <w:p w14:paraId="249C9373">
      <w:pPr>
        <w:pStyle w:val="168"/>
        <w:rPr>
          <w:rFonts w:hint="eastAsia" w:ascii="Times New Roman"/>
        </w:rPr>
      </w:pPr>
      <w:r>
        <w:rPr>
          <w:rFonts w:hint="eastAsia" w:ascii="Times New Roman"/>
        </w:rPr>
        <w:t>传感器安装与调试</w:t>
      </w:r>
      <w:r>
        <w:rPr>
          <w:rFonts w:hint="eastAsia"/>
          <w:lang w:eastAsia="zh-CN"/>
        </w:rPr>
        <w:t>：</w:t>
      </w:r>
    </w:p>
    <w:p w14:paraId="21EA11B7">
      <w:pPr>
        <w:pStyle w:val="168"/>
        <w:numPr>
          <w:ilvl w:val="0"/>
          <w:numId w:val="44"/>
        </w:numPr>
        <w:ind w:left="420" w:leftChars="0"/>
        <w:rPr>
          <w:rFonts w:hint="eastAsia"/>
          <w:lang w:val="en-US" w:eastAsia="zh-CN"/>
        </w:rPr>
      </w:pPr>
      <w:r>
        <w:rPr>
          <w:rFonts w:hint="eastAsia"/>
          <w:lang w:val="en-US" w:eastAsia="zh-CN"/>
        </w:rPr>
        <w:t>检查传感器安装位置，确认未对主体结构造成损害，检查防水、防腐、防雷击等防护措施。</w:t>
      </w:r>
    </w:p>
    <w:p w14:paraId="4B156773">
      <w:pPr>
        <w:pStyle w:val="168"/>
        <w:numPr>
          <w:ilvl w:val="0"/>
          <w:numId w:val="44"/>
        </w:numPr>
        <w:ind w:left="420" w:leftChars="0" w:firstLine="0" w:firstLineChars="0"/>
        <w:rPr>
          <w:rFonts w:hint="eastAsia"/>
          <w:lang w:val="en-US" w:eastAsia="zh-CN"/>
        </w:rPr>
      </w:pPr>
      <w:r>
        <w:rPr>
          <w:rFonts w:hint="eastAsia"/>
          <w:lang w:val="en-US" w:eastAsia="zh-CN"/>
        </w:rPr>
        <w:t>查阅联合调试与校准记录，确认系统处于正常工作状态。</w:t>
      </w:r>
    </w:p>
    <w:p w14:paraId="728B4959">
      <w:pPr>
        <w:pStyle w:val="108"/>
        <w:spacing w:before="156" w:after="156"/>
        <w:rPr>
          <w:rFonts w:hint="eastAsia" w:ascii="Times New Roman"/>
        </w:rPr>
      </w:pPr>
      <w:r>
        <w:rPr>
          <w:rFonts w:hint="eastAsia" w:ascii="Times New Roman"/>
        </w:rPr>
        <w:t>建设布局和方案的证实方法</w:t>
      </w:r>
    </w:p>
    <w:p w14:paraId="73C241EF">
      <w:pPr>
        <w:pStyle w:val="168"/>
        <w:rPr>
          <w:rFonts w:hint="eastAsia" w:ascii="Times New Roman"/>
        </w:rPr>
      </w:pPr>
      <w:r>
        <w:rPr>
          <w:rFonts w:hint="eastAsia" w:ascii="Times New Roman"/>
        </w:rPr>
        <w:t>建设布局</w:t>
      </w:r>
      <w:r>
        <w:rPr>
          <w:rFonts w:hint="eastAsia"/>
          <w:lang w:eastAsia="zh-CN"/>
        </w:rPr>
        <w:t>：查阅观测点布局专项论证报告，确认其布局考虑了区域典型环境、地质、结构类型等因素，并与既有监测设施实现统筹协调，确认管养主体明确，并制定了中长期布局目标与分期计划。</w:t>
      </w:r>
    </w:p>
    <w:p w14:paraId="7DFFC270">
      <w:pPr>
        <w:pStyle w:val="168"/>
        <w:rPr>
          <w:rFonts w:hint="eastAsia" w:ascii="Times New Roman"/>
        </w:rPr>
      </w:pPr>
      <w:r>
        <w:rPr>
          <w:rFonts w:hint="eastAsia"/>
          <w:lang w:val="en-US" w:eastAsia="zh-CN"/>
        </w:rPr>
        <w:t>建设方案：</w:t>
      </w:r>
    </w:p>
    <w:p w14:paraId="206FBB7D">
      <w:pPr>
        <w:pStyle w:val="168"/>
        <w:numPr>
          <w:ilvl w:val="0"/>
          <w:numId w:val="45"/>
        </w:numPr>
        <w:ind w:left="420" w:leftChars="0"/>
        <w:rPr>
          <w:rFonts w:hint="eastAsia"/>
          <w:lang w:val="en-US" w:eastAsia="zh-CN"/>
        </w:rPr>
      </w:pPr>
      <w:r>
        <w:rPr>
          <w:rFonts w:hint="eastAsia"/>
          <w:lang w:val="en-US" w:eastAsia="zh-CN"/>
        </w:rPr>
        <w:t>查阅建设方案，确认其明确了系统构成、技术指标、实施计划与保障机制。</w:t>
      </w:r>
    </w:p>
    <w:p w14:paraId="23BA217B">
      <w:pPr>
        <w:pStyle w:val="168"/>
        <w:numPr>
          <w:ilvl w:val="0"/>
          <w:numId w:val="45"/>
        </w:numPr>
        <w:ind w:left="420" w:leftChars="0" w:firstLine="0" w:firstLineChars="0"/>
        <w:rPr>
          <w:rFonts w:hint="eastAsia"/>
          <w:lang w:val="en-US" w:eastAsia="zh-CN"/>
        </w:rPr>
      </w:pPr>
      <w:r>
        <w:rPr>
          <w:rFonts w:hint="eastAsia"/>
          <w:lang w:val="en-US" w:eastAsia="zh-CN"/>
        </w:rPr>
        <w:t>检查新建工程的“三同步”落实情况，查阅动态优化记录与审批文件，检查现场标识牌是否符合附录A要求，查阅运行维护管理制度、数据管理办法及人员保障机制，核查人工观测数据是否已数字化接入数据中心。</w:t>
      </w:r>
    </w:p>
    <w:p w14:paraId="4DF349AE">
      <w:pPr>
        <w:pStyle w:val="108"/>
        <w:spacing w:before="156" w:after="156"/>
        <w:rPr>
          <w:rFonts w:hint="eastAsia" w:ascii="Times New Roman"/>
          <w:lang w:val="en-US" w:eastAsia="zh-CN"/>
        </w:rPr>
      </w:pPr>
      <w:r>
        <w:rPr>
          <w:rFonts w:hint="eastAsia" w:ascii="Times New Roman"/>
          <w:lang w:val="en-US" w:eastAsia="zh-CN"/>
        </w:rPr>
        <w:t>桥梁观测点建设的证实方法</w:t>
      </w:r>
    </w:p>
    <w:p w14:paraId="1A113430">
      <w:pPr>
        <w:pStyle w:val="168"/>
        <w:rPr>
          <w:rFonts w:hint="eastAsia"/>
          <w:lang w:val="en-US" w:eastAsia="zh-CN"/>
        </w:rPr>
      </w:pPr>
      <w:r>
        <w:rPr>
          <w:rFonts w:hint="eastAsia"/>
          <w:lang w:val="en-US" w:eastAsia="zh-CN"/>
        </w:rPr>
        <w:t>基础冲刷传感器：</w:t>
      </w:r>
    </w:p>
    <w:p w14:paraId="49863210">
      <w:pPr>
        <w:pStyle w:val="168"/>
        <w:numPr>
          <w:ilvl w:val="0"/>
          <w:numId w:val="46"/>
        </w:numPr>
        <w:ind w:left="420" w:leftChars="0"/>
        <w:rPr>
          <w:rFonts w:hint="eastAsia"/>
          <w:lang w:val="en-US" w:eastAsia="zh-CN"/>
        </w:rPr>
      </w:pPr>
      <w:r>
        <w:rPr>
          <w:rFonts w:hint="eastAsia"/>
          <w:lang w:val="en-US" w:eastAsia="zh-CN"/>
        </w:rPr>
        <w:t>查阅冲刷风险分析报告及传感器选型依据，检查传感器安装位置及类型，验证冲刷深度和水流速度的观测方法及设备性能参数。</w:t>
      </w:r>
    </w:p>
    <w:p w14:paraId="37074153">
      <w:pPr>
        <w:pStyle w:val="168"/>
        <w:numPr>
          <w:ilvl w:val="0"/>
          <w:numId w:val="46"/>
        </w:numPr>
        <w:ind w:left="420" w:leftChars="0" w:firstLine="0" w:firstLineChars="0"/>
        <w:rPr>
          <w:rFonts w:hint="eastAsia"/>
          <w:lang w:val="en-US" w:eastAsia="zh-CN"/>
        </w:rPr>
      </w:pPr>
      <w:r>
        <w:rPr>
          <w:rFonts w:hint="eastAsia"/>
          <w:lang w:val="en-US" w:eastAsia="zh-CN"/>
        </w:rPr>
        <w:t>模拟水位变化或冲刷深度达到阈值，验证系统是否具备多级报警功能，报警信息是否完整、推送是否及时。</w:t>
      </w:r>
    </w:p>
    <w:p w14:paraId="55785F60">
      <w:pPr>
        <w:pStyle w:val="168"/>
        <w:rPr>
          <w:rFonts w:hint="eastAsia"/>
          <w:lang w:val="en-US" w:eastAsia="zh-CN"/>
        </w:rPr>
      </w:pPr>
      <w:r>
        <w:rPr>
          <w:rFonts w:hint="eastAsia"/>
          <w:lang w:val="en-US" w:eastAsia="zh-CN"/>
        </w:rPr>
        <w:t xml:space="preserve"> 应变传感器：</w:t>
      </w:r>
    </w:p>
    <w:p w14:paraId="6F04ADDE">
      <w:pPr>
        <w:pStyle w:val="168"/>
        <w:numPr>
          <w:ilvl w:val="0"/>
          <w:numId w:val="47"/>
        </w:numPr>
        <w:ind w:left="420" w:leftChars="0"/>
        <w:rPr>
          <w:rFonts w:hint="eastAsia"/>
          <w:lang w:val="en-US" w:eastAsia="zh-CN"/>
        </w:rPr>
      </w:pPr>
      <w:r>
        <w:rPr>
          <w:rFonts w:hint="eastAsia"/>
          <w:lang w:val="en-US" w:eastAsia="zh-CN"/>
        </w:rPr>
        <w:t>查阅传感器选型报告、安装记录及校准证书。</w:t>
      </w:r>
    </w:p>
    <w:p w14:paraId="2A124A1A">
      <w:pPr>
        <w:pStyle w:val="168"/>
        <w:numPr>
          <w:ilvl w:val="0"/>
          <w:numId w:val="47"/>
        </w:numPr>
        <w:ind w:left="420" w:leftChars="0" w:firstLine="0" w:firstLineChars="0"/>
        <w:rPr>
          <w:rFonts w:hint="eastAsia"/>
          <w:lang w:val="en-US" w:eastAsia="zh-CN"/>
        </w:rPr>
      </w:pPr>
      <w:r>
        <w:rPr>
          <w:rFonts w:hint="eastAsia"/>
          <w:lang w:val="en-US" w:eastAsia="zh-CN"/>
        </w:rPr>
        <w:t>现场检查应变计布设位置是否位于主梁控制截面、桥塔、拱脚、索锚固区等关键受力部位，核查应变计的类型及量程、精度、采样频率等指标。</w:t>
      </w:r>
    </w:p>
    <w:p w14:paraId="068A8C5D">
      <w:pPr>
        <w:pStyle w:val="168"/>
        <w:rPr>
          <w:rFonts w:hint="eastAsia"/>
          <w:lang w:val="en-US" w:eastAsia="zh-CN"/>
        </w:rPr>
      </w:pPr>
      <w:r>
        <w:rPr>
          <w:rFonts w:hint="eastAsia"/>
          <w:lang w:val="en-US" w:eastAsia="zh-CN"/>
        </w:rPr>
        <w:t>结构位移传感器：查阅传感器选型报告及布设方案，检查位移观测点是否覆盖竖向、横向、纵向及支座位移，核查GNSS、静力水准仪等设备的数据是否统一至桥梁独立坐标系，且同一物理量的采样频率是否一致。</w:t>
      </w:r>
    </w:p>
    <w:p w14:paraId="78B0BA37">
      <w:pPr>
        <w:pStyle w:val="168"/>
        <w:rPr>
          <w:rFonts w:hint="eastAsia" w:ascii="Times New Roman"/>
        </w:rPr>
      </w:pPr>
      <w:r>
        <w:rPr>
          <w:rFonts w:hint="eastAsia" w:ascii="Times New Roman"/>
        </w:rPr>
        <w:t>结构振动传感器：检查传感器布设点位是否能有效捕捉结构主要振型</w:t>
      </w:r>
      <w:r>
        <w:rPr>
          <w:rFonts w:hint="eastAsia"/>
          <w:lang w:eastAsia="zh-CN"/>
        </w:rPr>
        <w:t>，</w:t>
      </w:r>
      <w:r>
        <w:rPr>
          <w:rFonts w:hint="eastAsia" w:ascii="Times New Roman"/>
        </w:rPr>
        <w:t>核查传感器的选型与设置是否符合JT/T 1037的规定。</w:t>
      </w:r>
    </w:p>
    <w:p w14:paraId="10A209FB">
      <w:pPr>
        <w:pStyle w:val="168"/>
        <w:rPr>
          <w:rFonts w:hint="eastAsia" w:ascii="Times New Roman"/>
        </w:rPr>
      </w:pPr>
      <w:r>
        <w:rPr>
          <w:rFonts w:hint="eastAsia" w:ascii="Times New Roman"/>
        </w:rPr>
        <w:t>索力传感器：检查索力传感器的布设位置是否覆盖不同位置、不同类型的代表性索股</w:t>
      </w:r>
      <w:r>
        <w:rPr>
          <w:rFonts w:hint="eastAsia"/>
          <w:lang w:eastAsia="zh-CN"/>
        </w:rPr>
        <w:t>，</w:t>
      </w:r>
      <w:r>
        <w:rPr>
          <w:rFonts w:hint="eastAsia" w:ascii="Times New Roman"/>
        </w:rPr>
        <w:t>核查采用的观测手段及传感器选型是否符合JT/T 1037的规定。</w:t>
      </w:r>
    </w:p>
    <w:p w14:paraId="465B7D0F">
      <w:pPr>
        <w:pStyle w:val="168"/>
        <w:rPr>
          <w:rFonts w:hint="eastAsia" w:ascii="Times New Roman"/>
        </w:rPr>
      </w:pPr>
      <w:r>
        <w:rPr>
          <w:rFonts w:hint="eastAsia" w:ascii="Times New Roman"/>
        </w:rPr>
        <w:t>裂缝观测传感器：检查裂缝观测点的布设是否根据裂缝的重要性、活动性等综合确定</w:t>
      </w:r>
      <w:r>
        <w:rPr>
          <w:rFonts w:hint="eastAsia"/>
          <w:lang w:eastAsia="zh-CN"/>
        </w:rPr>
        <w:t>，</w:t>
      </w:r>
      <w:r>
        <w:rPr>
          <w:rFonts w:hint="eastAsia" w:ascii="Times New Roman"/>
        </w:rPr>
        <w:t>对于群缝或网状裂缝，检查是否采用分布式光纤或定期高清图像拼接技术进行观测。</w:t>
      </w:r>
    </w:p>
    <w:p w14:paraId="272A8C08">
      <w:pPr>
        <w:pStyle w:val="168"/>
        <w:rPr>
          <w:rFonts w:hint="eastAsia" w:ascii="Times New Roman"/>
        </w:rPr>
      </w:pPr>
      <w:r>
        <w:rPr>
          <w:rFonts w:hint="eastAsia" w:ascii="Times New Roman"/>
        </w:rPr>
        <w:t>混凝土氯离子侵蚀观测：检查氯离子侵蚀观测传感器的选型与设置是否符合JT/T 1037的规定</w:t>
      </w:r>
      <w:r>
        <w:rPr>
          <w:rFonts w:hint="eastAsia"/>
          <w:lang w:eastAsia="zh-CN"/>
        </w:rPr>
        <w:t>，</w:t>
      </w:r>
      <w:r>
        <w:rPr>
          <w:rFonts w:hint="eastAsia" w:ascii="Times New Roman"/>
        </w:rPr>
        <w:t>现场核查测点是否位于墩柱水位变动区、浪溅区等关键部位。</w:t>
      </w:r>
    </w:p>
    <w:p w14:paraId="3AF3A065">
      <w:pPr>
        <w:pStyle w:val="168"/>
        <w:rPr>
          <w:rFonts w:hint="eastAsia" w:ascii="Times New Roman"/>
        </w:rPr>
      </w:pPr>
      <w:r>
        <w:rPr>
          <w:rFonts w:hint="eastAsia" w:ascii="Times New Roman"/>
        </w:rPr>
        <w:t>人工观测与巡检：查阅人工巡检制度文件及记录，确认巡检频率、内容、方法符合JTG 5120规定</w:t>
      </w:r>
      <w:r>
        <w:rPr>
          <w:rFonts w:hint="eastAsia"/>
          <w:lang w:eastAsia="zh-CN"/>
        </w:rPr>
        <w:t>，</w:t>
      </w:r>
      <w:r>
        <w:rPr>
          <w:rFonts w:hint="eastAsia" w:ascii="Times New Roman"/>
        </w:rPr>
        <w:t>检查便携式检测设备、电子记录终端的配置情况</w:t>
      </w:r>
      <w:r>
        <w:rPr>
          <w:rFonts w:hint="eastAsia"/>
          <w:lang w:eastAsia="zh-CN"/>
        </w:rPr>
        <w:t>，</w:t>
      </w:r>
      <w:r>
        <w:rPr>
          <w:rFonts w:hint="eastAsia" w:ascii="Times New Roman"/>
        </w:rPr>
        <w:t>核查专项检测的设备信息、校准记录及原始数据归档情况。</w:t>
      </w:r>
    </w:p>
    <w:p w14:paraId="22250BD5">
      <w:pPr>
        <w:pStyle w:val="108"/>
        <w:spacing w:before="156" w:after="156"/>
        <w:rPr>
          <w:rFonts w:hint="eastAsia" w:ascii="Times New Roman"/>
          <w:lang w:val="en-US" w:eastAsia="zh-CN"/>
        </w:rPr>
      </w:pPr>
      <w:r>
        <w:rPr>
          <w:rFonts w:hint="eastAsia" w:ascii="Times New Roman"/>
          <w:lang w:val="en-US" w:eastAsia="zh-CN"/>
        </w:rPr>
        <w:t>隧道结构观测点建设的证实方法</w:t>
      </w:r>
    </w:p>
    <w:p w14:paraId="25457AAD">
      <w:pPr>
        <w:pStyle w:val="168"/>
        <w:rPr>
          <w:rFonts w:hint="eastAsia" w:ascii="Times New Roman"/>
          <w:lang w:val="en-US" w:eastAsia="zh-CN"/>
        </w:rPr>
      </w:pPr>
      <w:r>
        <w:rPr>
          <w:rFonts w:hint="eastAsia" w:ascii="Times New Roman"/>
          <w:lang w:val="en-US" w:eastAsia="zh-CN"/>
        </w:rPr>
        <w:t>一般要求：查阅观测方案，确认其以围岩-支护结构体系长期稳定性为目标</w:t>
      </w:r>
      <w:r>
        <w:rPr>
          <w:rFonts w:hint="eastAsia"/>
          <w:lang w:val="en-US" w:eastAsia="zh-CN"/>
        </w:rPr>
        <w:t>，</w:t>
      </w:r>
      <w:r>
        <w:rPr>
          <w:rFonts w:hint="eastAsia" w:ascii="Times New Roman"/>
          <w:lang w:val="en-US" w:eastAsia="zh-CN"/>
        </w:rPr>
        <w:t>现场检查观测断面是否设置在优先选择的特殊地段。</w:t>
      </w:r>
    </w:p>
    <w:p w14:paraId="2F98EDD5">
      <w:pPr>
        <w:pStyle w:val="168"/>
        <w:rPr>
          <w:rFonts w:hint="eastAsia" w:ascii="Times New Roman"/>
          <w:lang w:val="en-US" w:eastAsia="zh-CN"/>
        </w:rPr>
      </w:pPr>
      <w:r>
        <w:rPr>
          <w:rFonts w:hint="eastAsia" w:ascii="Times New Roman"/>
          <w:lang w:val="en-US" w:eastAsia="zh-CN"/>
        </w:rPr>
        <w:t>围岩与地下水压力传感器：检查土压力盒、渗压计的型号、量程、布设位置，每个观测断面测点数量不宜少于5个</w:t>
      </w:r>
      <w:r>
        <w:rPr>
          <w:rFonts w:hint="eastAsia"/>
          <w:lang w:val="en-US" w:eastAsia="zh-CN"/>
        </w:rPr>
        <w:t>，</w:t>
      </w:r>
      <w:r>
        <w:rPr>
          <w:rFonts w:hint="eastAsia" w:ascii="Times New Roman"/>
          <w:lang w:val="en-US" w:eastAsia="zh-CN"/>
        </w:rPr>
        <w:t>核查数据采集频率设置，并验证在雨季、水位变化等工况下，频率能否自动加密至不低于1次/小时。</w:t>
      </w:r>
    </w:p>
    <w:p w14:paraId="7E13BD49">
      <w:pPr>
        <w:pStyle w:val="168"/>
        <w:rPr>
          <w:rFonts w:hint="eastAsia" w:ascii="Times New Roman"/>
          <w:lang w:val="en-US" w:eastAsia="zh-CN"/>
        </w:rPr>
      </w:pPr>
      <w:r>
        <w:rPr>
          <w:rFonts w:hint="eastAsia" w:ascii="Times New Roman"/>
          <w:lang w:val="en-US" w:eastAsia="zh-CN"/>
        </w:rPr>
        <w:t>衬砌应变传感器：检查应变计类型、布设位置及数量</w:t>
      </w:r>
      <w:r>
        <w:rPr>
          <w:rFonts w:hint="eastAsia"/>
          <w:lang w:val="en-US" w:eastAsia="zh-CN"/>
        </w:rPr>
        <w:t>，</w:t>
      </w:r>
      <w:r>
        <w:rPr>
          <w:rFonts w:hint="eastAsia" w:ascii="Times New Roman"/>
          <w:lang w:val="en-US" w:eastAsia="zh-CN"/>
        </w:rPr>
        <w:t>核查传感器量程、精度、数据采集频率。</w:t>
      </w:r>
    </w:p>
    <w:p w14:paraId="315769A9">
      <w:pPr>
        <w:pStyle w:val="168"/>
        <w:rPr>
          <w:rFonts w:hint="eastAsia" w:ascii="Times New Roman"/>
          <w:lang w:val="en-US" w:eastAsia="zh-CN"/>
        </w:rPr>
      </w:pPr>
      <w:r>
        <w:rPr>
          <w:rFonts w:hint="eastAsia" w:ascii="Times New Roman"/>
          <w:lang w:val="en-US" w:eastAsia="zh-CN"/>
        </w:rPr>
        <w:t>结构变形与位移观测设备：检查观测设备类型及布设方案</w:t>
      </w:r>
      <w:r>
        <w:rPr>
          <w:rFonts w:hint="eastAsia"/>
          <w:lang w:val="en-US" w:eastAsia="zh-CN"/>
        </w:rPr>
        <w:t>，</w:t>
      </w:r>
      <w:r>
        <w:rPr>
          <w:rFonts w:hint="eastAsia" w:ascii="Times New Roman"/>
          <w:lang w:val="en-US" w:eastAsia="zh-CN"/>
        </w:rPr>
        <w:t>核查数据采集频率在常规工况和异常工况下的执行情况</w:t>
      </w:r>
      <w:r>
        <w:rPr>
          <w:rFonts w:hint="eastAsia"/>
          <w:lang w:val="en-US" w:eastAsia="zh-CN"/>
        </w:rPr>
        <w:t>，</w:t>
      </w:r>
      <w:r>
        <w:rPr>
          <w:rFonts w:hint="eastAsia" w:ascii="Times New Roman"/>
          <w:lang w:val="en-US" w:eastAsia="zh-CN"/>
        </w:rPr>
        <w:t>验证数据是否统一至隧道工程独立坐标系。</w:t>
      </w:r>
    </w:p>
    <w:p w14:paraId="62BF4A0C">
      <w:pPr>
        <w:pStyle w:val="168"/>
        <w:rPr>
          <w:rFonts w:hint="eastAsia" w:ascii="Times New Roman"/>
          <w:lang w:val="en-US" w:eastAsia="zh-CN"/>
        </w:rPr>
      </w:pPr>
      <w:r>
        <w:rPr>
          <w:rFonts w:hint="eastAsia" w:ascii="Times New Roman"/>
          <w:lang w:val="en-US" w:eastAsia="zh-CN"/>
        </w:rPr>
        <w:t>裂缝观测设备：检查人工观测点是否设置了永久性、唯一编号的观测标记</w:t>
      </w:r>
      <w:r>
        <w:rPr>
          <w:rFonts w:hint="eastAsia"/>
          <w:lang w:val="en-US" w:eastAsia="zh-CN"/>
        </w:rPr>
        <w:t>，</w:t>
      </w:r>
      <w:r>
        <w:rPr>
          <w:rFonts w:hint="eastAsia" w:ascii="Times New Roman"/>
          <w:lang w:val="en-US" w:eastAsia="zh-CN"/>
        </w:rPr>
        <w:t>查阅裂缝观测记录，确认包含位置、长度、宽度、深度及走向等信息</w:t>
      </w:r>
      <w:r>
        <w:rPr>
          <w:rFonts w:hint="eastAsia"/>
          <w:lang w:val="en-US" w:eastAsia="zh-CN"/>
        </w:rPr>
        <w:t>，</w:t>
      </w:r>
      <w:r>
        <w:rPr>
          <w:rFonts w:hint="eastAsia" w:ascii="Times New Roman"/>
          <w:lang w:val="en-US" w:eastAsia="zh-CN"/>
        </w:rPr>
        <w:t>对于活动裂缝，检查是否安装了裂缝计或采用数字图像相关技术进行自动连续观测。</w:t>
      </w:r>
    </w:p>
    <w:p w14:paraId="365017C1">
      <w:pPr>
        <w:pStyle w:val="168"/>
        <w:rPr>
          <w:rFonts w:hint="eastAsia" w:ascii="Times New Roman"/>
          <w:lang w:val="en-US" w:eastAsia="zh-CN"/>
        </w:rPr>
      </w:pPr>
      <w:r>
        <w:rPr>
          <w:rFonts w:hint="eastAsia" w:ascii="Times New Roman"/>
          <w:lang w:val="en-US" w:eastAsia="zh-CN"/>
        </w:rPr>
        <w:t xml:space="preserve"> 结构锈蚀观测设备：检查新建隧道锈蚀传感器的预埋位置及数量</w:t>
      </w:r>
      <w:r>
        <w:rPr>
          <w:rFonts w:hint="eastAsia"/>
          <w:lang w:val="en-US" w:eastAsia="zh-CN"/>
        </w:rPr>
        <w:t>，</w:t>
      </w:r>
      <w:r>
        <w:rPr>
          <w:rFonts w:hint="eastAsia" w:ascii="Times New Roman"/>
          <w:lang w:val="en-US" w:eastAsia="zh-CN"/>
        </w:rPr>
        <w:t>检查运营期隧道人工观测点的设置情况</w:t>
      </w:r>
      <w:r>
        <w:rPr>
          <w:rFonts w:hint="eastAsia"/>
          <w:lang w:val="en-US" w:eastAsia="zh-CN"/>
        </w:rPr>
        <w:t>，</w:t>
      </w:r>
      <w:r>
        <w:rPr>
          <w:rFonts w:hint="eastAsia" w:ascii="Times New Roman"/>
          <w:lang w:val="en-US" w:eastAsia="zh-CN"/>
        </w:rPr>
        <w:t>核查自动化传感器和人工检测的采样频率执行记录。</w:t>
      </w:r>
    </w:p>
    <w:p w14:paraId="66E5840F">
      <w:pPr>
        <w:pStyle w:val="168"/>
        <w:rPr>
          <w:rFonts w:hint="eastAsia" w:ascii="Times New Roman"/>
          <w:lang w:val="en-US" w:eastAsia="zh-CN"/>
        </w:rPr>
      </w:pPr>
      <w:r>
        <w:rPr>
          <w:rFonts w:hint="eastAsia" w:ascii="Times New Roman"/>
          <w:lang w:val="en-US" w:eastAsia="zh-CN"/>
        </w:rPr>
        <w:t>人工观测与巡检：查阅人工巡检制度文件及记录，确认巡检频率、方法、技术要求符合JTG H12规定</w:t>
      </w:r>
      <w:r>
        <w:rPr>
          <w:rFonts w:hint="eastAsia"/>
          <w:lang w:val="en-US" w:eastAsia="zh-CN"/>
        </w:rPr>
        <w:t>，</w:t>
      </w:r>
      <w:r>
        <w:rPr>
          <w:rFonts w:hint="eastAsia" w:ascii="Times New Roman"/>
          <w:lang w:val="en-US" w:eastAsia="zh-CN"/>
        </w:rPr>
        <w:t>核查人工巡检结果是否及时录入数据中心，设备信息及校准记录是否一并存档。</w:t>
      </w:r>
    </w:p>
    <w:p w14:paraId="294F9002">
      <w:pPr>
        <w:pStyle w:val="108"/>
        <w:spacing w:before="156" w:after="156"/>
        <w:rPr>
          <w:rFonts w:hint="eastAsia" w:ascii="Times New Roman"/>
          <w:lang w:val="en-US" w:eastAsia="zh-CN"/>
        </w:rPr>
      </w:pPr>
      <w:r>
        <w:rPr>
          <w:rFonts w:hint="eastAsia" w:ascii="Times New Roman"/>
          <w:lang w:val="en-US" w:eastAsia="zh-CN"/>
        </w:rPr>
        <w:t>数据采集和传输系统安装的证实方法</w:t>
      </w:r>
    </w:p>
    <w:p w14:paraId="3B7513DB">
      <w:pPr>
        <w:pStyle w:val="168"/>
        <w:rPr>
          <w:rFonts w:hint="eastAsia" w:ascii="Times New Roman"/>
          <w:lang w:val="en-US" w:eastAsia="zh-CN"/>
        </w:rPr>
      </w:pPr>
      <w:r>
        <w:rPr>
          <w:rFonts w:hint="eastAsia" w:ascii="Times New Roman"/>
          <w:lang w:val="en-US" w:eastAsia="zh-CN"/>
        </w:rPr>
        <w:t>观测机柜（房）：检查机柜位置是否靠近传感器断面，并评估通信、供电条件</w:t>
      </w:r>
      <w:r>
        <w:rPr>
          <w:rFonts w:hint="eastAsia"/>
          <w:lang w:val="en-US" w:eastAsia="zh-CN"/>
        </w:rPr>
        <w:t>，</w:t>
      </w:r>
      <w:r>
        <w:rPr>
          <w:rFonts w:hint="eastAsia" w:ascii="Times New Roman"/>
          <w:lang w:val="en-US" w:eastAsia="zh-CN"/>
        </w:rPr>
        <w:t>检查机柜防水、防潮、防雷、生物防护、防撞护栏及铭牌设置情况。</w:t>
      </w:r>
    </w:p>
    <w:p w14:paraId="11439094">
      <w:pPr>
        <w:pStyle w:val="168"/>
        <w:rPr>
          <w:rFonts w:hint="eastAsia" w:ascii="Times New Roman"/>
          <w:lang w:val="en-US" w:eastAsia="zh-CN"/>
        </w:rPr>
      </w:pPr>
      <w:r>
        <w:rPr>
          <w:rFonts w:hint="eastAsia" w:ascii="Times New Roman"/>
          <w:lang w:val="en-US" w:eastAsia="zh-CN"/>
        </w:rPr>
        <w:t>数据采集：检查线缆套管保护、分类捆绑及标识情况</w:t>
      </w:r>
      <w:r>
        <w:rPr>
          <w:rFonts w:hint="eastAsia"/>
          <w:lang w:val="en-US" w:eastAsia="zh-CN"/>
        </w:rPr>
        <w:t>，</w:t>
      </w:r>
      <w:r>
        <w:rPr>
          <w:rFonts w:hint="eastAsia" w:ascii="Times New Roman"/>
          <w:lang w:val="en-US" w:eastAsia="zh-CN"/>
        </w:rPr>
        <w:t>核查数据采集器通道数量是否满足要求，通道对应列表是否清晰</w:t>
      </w:r>
      <w:r>
        <w:rPr>
          <w:rFonts w:hint="eastAsia"/>
          <w:lang w:val="en-US" w:eastAsia="zh-CN"/>
        </w:rPr>
        <w:t>，</w:t>
      </w:r>
      <w:r>
        <w:rPr>
          <w:rFonts w:hint="eastAsia" w:ascii="Times New Roman"/>
          <w:lang w:val="en-US" w:eastAsia="zh-CN"/>
        </w:rPr>
        <w:t>检查防雷接地措施</w:t>
      </w:r>
      <w:r>
        <w:rPr>
          <w:rFonts w:hint="eastAsia"/>
          <w:lang w:val="en-US" w:eastAsia="zh-CN"/>
        </w:rPr>
        <w:t>，</w:t>
      </w:r>
      <w:r>
        <w:rPr>
          <w:rFonts w:hint="eastAsia" w:ascii="Times New Roman"/>
          <w:lang w:val="en-US" w:eastAsia="zh-CN"/>
        </w:rPr>
        <w:t>验证本地存储与云端备份功能，确认存储能力符合要求。</w:t>
      </w:r>
    </w:p>
    <w:p w14:paraId="01512BF7">
      <w:pPr>
        <w:pStyle w:val="168"/>
        <w:rPr>
          <w:rFonts w:hint="eastAsia" w:ascii="Times New Roman"/>
          <w:lang w:val="en-US" w:eastAsia="zh-CN"/>
        </w:rPr>
      </w:pPr>
      <w:r>
        <w:rPr>
          <w:rFonts w:hint="eastAsia" w:ascii="Times New Roman"/>
          <w:lang w:val="en-US" w:eastAsia="zh-CN"/>
        </w:rPr>
        <w:t>数据传输：检查数据传输方式，对无线传输设备检查其防雷、防雨雪设计</w:t>
      </w:r>
      <w:r>
        <w:rPr>
          <w:rFonts w:hint="eastAsia"/>
          <w:lang w:val="en-US" w:eastAsia="zh-CN"/>
        </w:rPr>
        <w:t>，</w:t>
      </w:r>
      <w:r>
        <w:rPr>
          <w:rFonts w:hint="eastAsia" w:ascii="Times New Roman"/>
          <w:lang w:val="en-US" w:eastAsia="zh-CN"/>
        </w:rPr>
        <w:t>模拟数据存储量达到80%时，验证数据上传功能的触发情况。</w:t>
      </w:r>
    </w:p>
    <w:p w14:paraId="79FF2F06">
      <w:pPr>
        <w:pStyle w:val="108"/>
        <w:spacing w:before="156" w:after="156"/>
        <w:rPr>
          <w:rFonts w:hint="eastAsia" w:ascii="Times New Roman"/>
          <w:lang w:val="en-US" w:eastAsia="zh-CN"/>
        </w:rPr>
      </w:pPr>
      <w:r>
        <w:rPr>
          <w:rFonts w:hint="eastAsia" w:ascii="Times New Roman"/>
          <w:lang w:val="en-US" w:eastAsia="zh-CN"/>
        </w:rPr>
        <w:t>数据中心建设的证实方法</w:t>
      </w:r>
    </w:p>
    <w:p w14:paraId="07C333B8">
      <w:pPr>
        <w:pStyle w:val="168"/>
        <w:rPr>
          <w:rFonts w:hint="eastAsia" w:ascii="Times New Roman"/>
          <w:lang w:val="en-US" w:eastAsia="zh-CN"/>
        </w:rPr>
      </w:pPr>
      <w:r>
        <w:rPr>
          <w:rFonts w:hint="eastAsia" w:ascii="Times New Roman"/>
          <w:lang w:val="en-US" w:eastAsia="zh-CN"/>
        </w:rPr>
        <w:t>硬件建设：查阅数据中心设计文件，确认机房建设等级符合GB 50174要求</w:t>
      </w:r>
      <w:r>
        <w:rPr>
          <w:rFonts w:hint="eastAsia"/>
          <w:lang w:val="en-US" w:eastAsia="zh-CN"/>
        </w:rPr>
        <w:t>，</w:t>
      </w:r>
      <w:r>
        <w:rPr>
          <w:rFonts w:hint="eastAsia" w:ascii="Times New Roman"/>
          <w:lang w:val="en-US" w:eastAsia="zh-CN"/>
        </w:rPr>
        <w:t>检查服务器、存储设备的冗余、备份配置</w:t>
      </w:r>
      <w:r>
        <w:rPr>
          <w:rFonts w:hint="eastAsia"/>
          <w:lang w:val="en-US" w:eastAsia="zh-CN"/>
        </w:rPr>
        <w:t>，</w:t>
      </w:r>
      <w:r>
        <w:rPr>
          <w:rFonts w:hint="eastAsia" w:ascii="Times New Roman"/>
          <w:lang w:val="en-US" w:eastAsia="zh-CN"/>
        </w:rPr>
        <w:t>验证访问权限控制机制</w:t>
      </w:r>
      <w:r>
        <w:rPr>
          <w:rFonts w:hint="eastAsia"/>
          <w:lang w:val="en-US" w:eastAsia="zh-CN"/>
        </w:rPr>
        <w:t>，</w:t>
      </w:r>
      <w:r>
        <w:rPr>
          <w:rFonts w:hint="eastAsia" w:ascii="Times New Roman"/>
          <w:lang w:val="en-US" w:eastAsia="zh-CN"/>
        </w:rPr>
        <w:t>核查存储容量及动态扩容能力。</w:t>
      </w:r>
    </w:p>
    <w:p w14:paraId="7AE6FCB5">
      <w:pPr>
        <w:pStyle w:val="168"/>
        <w:rPr>
          <w:rFonts w:hint="eastAsia" w:ascii="Times New Roman"/>
          <w:lang w:val="en-US" w:eastAsia="zh-CN"/>
        </w:rPr>
      </w:pPr>
      <w:r>
        <w:rPr>
          <w:rFonts w:hint="eastAsia" w:ascii="Times New Roman"/>
          <w:lang w:val="en-US" w:eastAsia="zh-CN"/>
        </w:rPr>
        <w:t>软件建设：查阅网络安全等级保护测评报告，确认软件通过二级及以上评测</w:t>
      </w:r>
      <w:r>
        <w:rPr>
          <w:rFonts w:hint="eastAsia"/>
          <w:lang w:val="en-US" w:eastAsia="zh-CN"/>
        </w:rPr>
        <w:t>，</w:t>
      </w:r>
      <w:r>
        <w:rPr>
          <w:rFonts w:hint="eastAsia" w:ascii="Times New Roman"/>
          <w:lang w:val="en-US" w:eastAsia="zh-CN"/>
        </w:rPr>
        <w:t>验证观测点软件的原始数据自动汇交功能；验证数据中心软件的元数据管理、数据存储与备份功能</w:t>
      </w:r>
      <w:r>
        <w:rPr>
          <w:rFonts w:hint="eastAsia"/>
          <w:lang w:val="en-US" w:eastAsia="zh-CN"/>
        </w:rPr>
        <w:t>，</w:t>
      </w:r>
      <w:r>
        <w:rPr>
          <w:rFonts w:hint="eastAsia" w:ascii="Times New Roman"/>
          <w:lang w:val="en-US" w:eastAsia="zh-CN"/>
        </w:rPr>
        <w:t>测试数据服务接口（API）的有效性。</w:t>
      </w:r>
    </w:p>
    <w:p w14:paraId="23B676ED">
      <w:pPr>
        <w:pStyle w:val="108"/>
        <w:spacing w:before="156" w:after="156"/>
        <w:rPr>
          <w:rFonts w:hint="eastAsia" w:ascii="Times New Roman"/>
          <w:lang w:val="en-US" w:eastAsia="zh-CN"/>
        </w:rPr>
      </w:pPr>
      <w:r>
        <w:rPr>
          <w:rFonts w:hint="eastAsia" w:ascii="Times New Roman"/>
          <w:lang w:val="en-US" w:eastAsia="zh-CN"/>
        </w:rPr>
        <w:t>验收与维护的证实方法</w:t>
      </w:r>
    </w:p>
    <w:p w14:paraId="6C1C2ACC">
      <w:pPr>
        <w:pStyle w:val="168"/>
        <w:rPr>
          <w:rFonts w:hint="eastAsia" w:ascii="Times New Roman"/>
          <w:lang w:val="en-US" w:eastAsia="zh-CN"/>
        </w:rPr>
      </w:pPr>
      <w:r>
        <w:rPr>
          <w:rFonts w:hint="eastAsia" w:ascii="Times New Roman"/>
          <w:lang w:val="en-US" w:eastAsia="zh-CN"/>
        </w:rPr>
        <w:t xml:space="preserve"> </w:t>
      </w:r>
      <w:r>
        <w:rPr>
          <w:rFonts w:hint="eastAsia" w:ascii="Times New Roman" w:hAnsi="Times New Roman" w:eastAsia="宋体" w:cs="Times New Roman"/>
          <w:sz w:val="21"/>
          <w:lang w:val="en-US" w:eastAsia="zh-CN" w:bidi="ar-SA"/>
        </w:rPr>
        <w:t>验收：查阅观测点及数据中心的试运行报告、验收报告，确认符合JT/T 1504.1相关规定。</w:t>
      </w:r>
    </w:p>
    <w:p w14:paraId="50C19121">
      <w:pPr>
        <w:pStyle w:val="168"/>
        <w:rPr>
          <w:rFonts w:hint="eastAsia" w:ascii="Times New Roman"/>
          <w:lang w:val="en-US" w:eastAsia="zh-CN"/>
        </w:rPr>
      </w:pPr>
      <w:r>
        <w:rPr>
          <w:rFonts w:hint="eastAsia" w:ascii="Times New Roman"/>
          <w:lang w:val="en-US" w:eastAsia="zh-CN"/>
        </w:rPr>
        <w:t>巡检制度：查阅日常、定期和专项巡检记录，确认包含对传感器检定/校准、性能验证与数据可靠性验证的记录</w:t>
      </w:r>
      <w:r>
        <w:rPr>
          <w:rFonts w:hint="eastAsia"/>
          <w:lang w:val="en-US" w:eastAsia="zh-CN"/>
        </w:rPr>
        <w:t>，</w:t>
      </w:r>
      <w:r>
        <w:rPr>
          <w:rFonts w:hint="eastAsia" w:ascii="Times New Roman"/>
          <w:lang w:val="en-US" w:eastAsia="zh-CN"/>
        </w:rPr>
        <w:t>核查关键受力、位移传感器和环境传感器的校准周期执行情况。</w:t>
      </w:r>
    </w:p>
    <w:p w14:paraId="44AD38D6">
      <w:pPr>
        <w:pStyle w:val="168"/>
        <w:rPr>
          <w:rFonts w:hint="eastAsia" w:ascii="Times New Roman"/>
          <w:lang w:val="en-US" w:eastAsia="zh-CN"/>
        </w:rPr>
      </w:pPr>
      <w:r>
        <w:rPr>
          <w:rFonts w:hint="eastAsia" w:ascii="Times New Roman"/>
          <w:lang w:val="en-US" w:eastAsia="zh-CN"/>
        </w:rPr>
        <w:t>观测对象维修备案：核查数据中心备案记录，确认观测对象维修、养护信息已备案。</w:t>
      </w:r>
    </w:p>
    <w:p w14:paraId="619AB873">
      <w:pPr>
        <w:pStyle w:val="168"/>
        <w:rPr>
          <w:rFonts w:hint="eastAsia" w:ascii="Times New Roman"/>
          <w:lang w:val="en-US" w:eastAsia="zh-CN"/>
        </w:rPr>
      </w:pPr>
      <w:r>
        <w:rPr>
          <w:rFonts w:hint="eastAsia" w:ascii="Times New Roman"/>
          <w:lang w:val="en-US" w:eastAsia="zh-CN"/>
        </w:rPr>
        <w:t>设备更换：核查设备更换记录，确认采用了同性能设备原位更换。检查系统在更换期间的数据连续性保障措施。</w:t>
      </w:r>
      <w:r>
        <w:rPr>
          <w:rFonts w:hint="eastAsia" w:ascii="Times New Roman"/>
          <w:lang w:val="en-US" w:eastAsia="zh-CN"/>
        </w:rPr>
        <w:br w:type="page"/>
      </w:r>
    </w:p>
    <w:bookmarkEnd w:id="155"/>
    <w:bookmarkEnd w:id="156"/>
    <w:bookmarkEnd w:id="157"/>
    <w:p w14:paraId="07A2FBDB">
      <w:pPr>
        <w:pStyle w:val="2"/>
        <w:spacing w:after="120" w:line="240" w:lineRule="auto"/>
        <w:jc w:val="center"/>
        <w:rPr>
          <w:rFonts w:ascii="Times New Roman" w:hAnsi="Times New Roman" w:eastAsia="黑体"/>
          <w:b w:val="0"/>
          <w:bCs w:val="0"/>
          <w:kern w:val="0"/>
          <w:sz w:val="21"/>
          <w:szCs w:val="20"/>
        </w:rPr>
      </w:pPr>
      <w:bookmarkStart w:id="158" w:name="_Toc14366"/>
      <w:bookmarkStart w:id="159" w:name="_Toc139963578"/>
      <w:bookmarkStart w:id="160" w:name="_Toc6766"/>
      <w:bookmarkStart w:id="161" w:name="_Toc10125"/>
      <w:r>
        <w:rPr>
          <w:rFonts w:ascii="Times New Roman" w:hAnsi="Times New Roman" w:eastAsia="黑体"/>
          <w:b w:val="0"/>
          <w:bCs w:val="0"/>
          <w:kern w:val="0"/>
          <w:sz w:val="24"/>
          <w:szCs w:val="24"/>
        </w:rPr>
        <w:t>附录 A</w:t>
      </w:r>
      <w:r>
        <w:rPr>
          <w:rFonts w:ascii="Times New Roman" w:hAnsi="Times New Roman" w:eastAsia="黑体"/>
          <w:b w:val="0"/>
          <w:bCs w:val="0"/>
          <w:kern w:val="0"/>
          <w:sz w:val="21"/>
          <w:szCs w:val="20"/>
        </w:rPr>
        <w:br w:type="textWrapping"/>
      </w:r>
      <w:r>
        <w:rPr>
          <w:rFonts w:ascii="Times New Roman" w:hAnsi="Times New Roman" w:eastAsia="黑体"/>
          <w:b w:val="0"/>
          <w:bCs w:val="0"/>
          <w:kern w:val="0"/>
          <w:sz w:val="21"/>
          <w:szCs w:val="20"/>
        </w:rPr>
        <w:t>（规范性）</w:t>
      </w:r>
      <w:r>
        <w:rPr>
          <w:rFonts w:ascii="Times New Roman" w:hAnsi="Times New Roman" w:eastAsia="黑体"/>
          <w:b w:val="0"/>
          <w:bCs w:val="0"/>
          <w:kern w:val="0"/>
          <w:sz w:val="21"/>
          <w:szCs w:val="20"/>
        </w:rPr>
        <w:br w:type="textWrapping"/>
      </w:r>
      <w:r>
        <w:rPr>
          <w:rFonts w:ascii="Times New Roman" w:hAnsi="Times New Roman" w:eastAsia="黑体"/>
          <w:b w:val="0"/>
          <w:bCs w:val="0"/>
          <w:kern w:val="0"/>
          <w:sz w:val="21"/>
          <w:szCs w:val="20"/>
        </w:rPr>
        <w:t>观测点标志牌</w:t>
      </w:r>
      <w:bookmarkEnd w:id="158"/>
    </w:p>
    <w:p w14:paraId="12A4BF80">
      <w:pPr>
        <w:widowControl/>
        <w:jc w:val="left"/>
        <w:rPr>
          <w:rFonts w:ascii="Times New Roman" w:hAnsi="Times New Roman"/>
          <w:color w:val="000000"/>
          <w:kern w:val="0"/>
          <w:sz w:val="20"/>
          <w:szCs w:val="20"/>
        </w:rPr>
      </w:pPr>
      <w:r>
        <w:rPr>
          <w:rFonts w:hint="eastAsia" w:ascii="Times New Roman" w:hAnsi="Times New Roman"/>
          <w:color w:val="000000"/>
          <w:kern w:val="0"/>
          <w:sz w:val="20"/>
          <w:szCs w:val="20"/>
        </w:rPr>
        <w:t xml:space="preserve">A.1 </w:t>
      </w:r>
      <w:r>
        <w:rPr>
          <w:rFonts w:ascii="Times New Roman" w:hAnsi="Times New Roman"/>
          <w:color w:val="000000"/>
          <w:kern w:val="0"/>
          <w:sz w:val="20"/>
          <w:szCs w:val="20"/>
        </w:rPr>
        <w:t>标志牌</w:t>
      </w:r>
      <w:r>
        <w:rPr>
          <w:rFonts w:hint="eastAsia" w:ascii="Times New Roman" w:hAnsi="Times New Roman"/>
          <w:color w:val="000000"/>
          <w:kern w:val="0"/>
          <w:sz w:val="20"/>
          <w:szCs w:val="20"/>
        </w:rPr>
        <w:t>展示内容与样式示例如图</w:t>
      </w:r>
      <w:r>
        <w:rPr>
          <w:rFonts w:ascii="Times New Roman" w:hAnsi="Times New Roman"/>
          <w:color w:val="000000"/>
          <w:kern w:val="0"/>
          <w:sz w:val="20"/>
          <w:szCs w:val="20"/>
        </w:rPr>
        <w:t>A.1</w:t>
      </w:r>
      <w:r>
        <w:rPr>
          <w:rFonts w:hint="eastAsia" w:ascii="Times New Roman" w:hAnsi="Times New Roman"/>
          <w:color w:val="000000"/>
          <w:kern w:val="0"/>
          <w:sz w:val="20"/>
          <w:szCs w:val="20"/>
        </w:rPr>
        <w:t>所示，标志牌布局示例如图A</w:t>
      </w:r>
      <w:r>
        <w:rPr>
          <w:rFonts w:ascii="Times New Roman" w:hAnsi="Times New Roman"/>
          <w:color w:val="000000"/>
          <w:kern w:val="0"/>
          <w:sz w:val="20"/>
          <w:szCs w:val="20"/>
        </w:rPr>
        <w:t>.2</w:t>
      </w:r>
      <w:r>
        <w:rPr>
          <w:rFonts w:hint="eastAsia" w:ascii="Times New Roman" w:hAnsi="Times New Roman"/>
          <w:color w:val="000000"/>
          <w:kern w:val="0"/>
          <w:sz w:val="20"/>
          <w:szCs w:val="20"/>
        </w:rPr>
        <w:t>所示</w:t>
      </w:r>
      <w:r>
        <w:rPr>
          <w:rFonts w:ascii="Times New Roman" w:hAnsi="Times New Roman"/>
          <w:color w:val="000000"/>
          <w:kern w:val="0"/>
          <w:sz w:val="20"/>
          <w:szCs w:val="20"/>
        </w:rPr>
        <w:t>。</w:t>
      </w:r>
    </w:p>
    <w:tbl>
      <w:tblPr>
        <w:tblStyle w:val="2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3"/>
      </w:tblGrid>
      <w:tr w14:paraId="2812B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Borders>
              <w:top w:val="nil"/>
              <w:left w:val="nil"/>
              <w:bottom w:val="nil"/>
              <w:right w:val="single" w:color="auto" w:sz="4" w:space="0"/>
              <w:insideV w:val="single" w:sz="4" w:space="0"/>
              <w:tl2br w:val="nil"/>
              <w:tr2bl w:val="nil"/>
            </w:tcBorders>
          </w:tcPr>
          <w:p w14:paraId="55535B27">
            <w:pPr>
              <w:pStyle w:val="248"/>
            </w:pPr>
            <w:r>
              <w:drawing>
                <wp:inline distT="0" distB="0" distL="0" distR="0">
                  <wp:extent cx="2159635" cy="1622425"/>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160000" cy="1622839"/>
                          </a:xfrm>
                          <a:prstGeom prst="rect">
                            <a:avLst/>
                          </a:prstGeom>
                          <a:noFill/>
                        </pic:spPr>
                      </pic:pic>
                    </a:graphicData>
                  </a:graphic>
                </wp:inline>
              </w:drawing>
            </w:r>
          </w:p>
        </w:tc>
        <w:tc>
          <w:tcPr>
            <w:tcW w:w="4643" w:type="dxa"/>
            <w:tcBorders>
              <w:top w:val="nil"/>
              <w:left w:val="nil"/>
              <w:bottom w:val="nil"/>
              <w:right w:val="nil"/>
              <w:insideV w:val="single" w:sz="4" w:space="0"/>
              <w:tl2br w:val="nil"/>
              <w:tr2bl w:val="nil"/>
            </w:tcBorders>
          </w:tcPr>
          <w:p w14:paraId="79DCD635">
            <w:pPr>
              <w:pStyle w:val="248"/>
            </w:pPr>
            <w:r>
              <w:drawing>
                <wp:inline distT="0" distB="0" distL="0" distR="0">
                  <wp:extent cx="2159635" cy="1622425"/>
                  <wp:effectExtent l="0" t="0" r="2540"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160000" cy="1622839"/>
                          </a:xfrm>
                          <a:prstGeom prst="rect">
                            <a:avLst/>
                          </a:prstGeom>
                          <a:noFill/>
                        </pic:spPr>
                      </pic:pic>
                    </a:graphicData>
                  </a:graphic>
                </wp:inline>
              </w:drawing>
            </w:r>
          </w:p>
        </w:tc>
      </w:tr>
      <w:tr w14:paraId="028A2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70FBA093">
            <w:pPr>
              <w:pStyle w:val="248"/>
            </w:pPr>
            <w:r>
              <w:rPr>
                <w:rFonts w:hint="eastAsia" w:eastAsia="黑体"/>
                <w:color w:val="000000"/>
                <w:kern w:val="0"/>
                <w:szCs w:val="18"/>
              </w:rPr>
              <w:t>a) 高速公路桥梁观测点标志牌</w:t>
            </w:r>
          </w:p>
        </w:tc>
        <w:tc>
          <w:tcPr>
            <w:tcW w:w="4643" w:type="dxa"/>
          </w:tcPr>
          <w:p w14:paraId="004C19E6">
            <w:pPr>
              <w:pStyle w:val="248"/>
            </w:pPr>
            <w:r>
              <w:rPr>
                <w:rFonts w:hint="eastAsia" w:eastAsia="黑体"/>
                <w:color w:val="000000"/>
                <w:kern w:val="0"/>
                <w:szCs w:val="18"/>
              </w:rPr>
              <w:t>b) 普通国省道桥梁观测点标志牌</w:t>
            </w:r>
          </w:p>
        </w:tc>
      </w:tr>
      <w:tr w14:paraId="107D8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0A2C6296">
            <w:pPr>
              <w:pStyle w:val="248"/>
            </w:pPr>
            <w:r>
              <w:drawing>
                <wp:inline distT="0" distB="0" distL="0" distR="0">
                  <wp:extent cx="2159635" cy="1622425"/>
                  <wp:effectExtent l="0" t="0" r="2540"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160000" cy="1622839"/>
                          </a:xfrm>
                          <a:prstGeom prst="rect">
                            <a:avLst/>
                          </a:prstGeom>
                          <a:noFill/>
                        </pic:spPr>
                      </pic:pic>
                    </a:graphicData>
                  </a:graphic>
                </wp:inline>
              </w:drawing>
            </w:r>
          </w:p>
        </w:tc>
        <w:tc>
          <w:tcPr>
            <w:tcW w:w="4643" w:type="dxa"/>
          </w:tcPr>
          <w:p w14:paraId="63CED2E5">
            <w:pPr>
              <w:pStyle w:val="248"/>
            </w:pPr>
            <w:r>
              <w:drawing>
                <wp:inline distT="0" distB="0" distL="0" distR="0">
                  <wp:extent cx="2159635" cy="1622425"/>
                  <wp:effectExtent l="0" t="0" r="2540" b="635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160000" cy="1622839"/>
                          </a:xfrm>
                          <a:prstGeom prst="rect">
                            <a:avLst/>
                          </a:prstGeom>
                          <a:noFill/>
                        </pic:spPr>
                      </pic:pic>
                    </a:graphicData>
                  </a:graphic>
                </wp:inline>
              </w:drawing>
            </w:r>
          </w:p>
        </w:tc>
      </w:tr>
      <w:tr w14:paraId="15433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39C7210B">
            <w:pPr>
              <w:pStyle w:val="248"/>
            </w:pPr>
            <w:r>
              <w:rPr>
                <w:rFonts w:hint="eastAsia" w:eastAsia="黑体"/>
                <w:color w:val="000000"/>
                <w:kern w:val="0"/>
                <w:szCs w:val="18"/>
              </w:rPr>
              <w:t>c) 高速公路隧道结构观测点标志牌</w:t>
            </w:r>
          </w:p>
        </w:tc>
        <w:tc>
          <w:tcPr>
            <w:tcW w:w="4643" w:type="dxa"/>
          </w:tcPr>
          <w:p w14:paraId="274B77E4">
            <w:pPr>
              <w:pStyle w:val="248"/>
            </w:pPr>
            <w:r>
              <w:rPr>
                <w:rFonts w:hint="eastAsia" w:eastAsia="黑体"/>
                <w:color w:val="000000"/>
                <w:kern w:val="0"/>
                <w:szCs w:val="18"/>
              </w:rPr>
              <w:t>d) 普通国省道隧道结构观测点标志牌</w:t>
            </w:r>
          </w:p>
        </w:tc>
      </w:tr>
    </w:tbl>
    <w:p w14:paraId="4EC6421D">
      <w:pPr>
        <w:widowControl/>
        <w:jc w:val="center"/>
        <w:rPr>
          <w:rFonts w:ascii="Times New Roman" w:hAnsi="Times New Roman" w:eastAsia="黑体"/>
          <w:color w:val="000000"/>
          <w:kern w:val="0"/>
          <w:sz w:val="20"/>
          <w:szCs w:val="20"/>
        </w:rPr>
      </w:pPr>
      <w:r>
        <w:rPr>
          <w:rFonts w:ascii="Times New Roman" w:hAnsi="Times New Roman" w:eastAsia="黑体"/>
          <w:color w:val="000000"/>
          <w:kern w:val="0"/>
          <w:sz w:val="20"/>
          <w:szCs w:val="20"/>
        </w:rPr>
        <w:t>图 A.1 观测点标志牌</w:t>
      </w:r>
      <w:r>
        <w:rPr>
          <w:rFonts w:hint="eastAsia" w:ascii="Times New Roman" w:hAnsi="Times New Roman" w:eastAsia="黑体"/>
          <w:color w:val="000000"/>
          <w:kern w:val="0"/>
          <w:sz w:val="20"/>
          <w:szCs w:val="20"/>
        </w:rPr>
        <w:t>内容、样式</w:t>
      </w:r>
      <w:r>
        <w:rPr>
          <w:rFonts w:ascii="Times New Roman" w:hAnsi="Times New Roman" w:eastAsia="黑体"/>
          <w:color w:val="000000"/>
          <w:kern w:val="0"/>
          <w:sz w:val="20"/>
          <w:szCs w:val="20"/>
        </w:rPr>
        <w:t>示意图</w:t>
      </w:r>
    </w:p>
    <w:p w14:paraId="26E32E66">
      <w:pPr>
        <w:pStyle w:val="59"/>
        <w:rPr>
          <w:rFonts w:hint="eastAsia" w:hAnsi="宋体" w:cs="宋体"/>
          <w:sz w:val="18"/>
          <w:szCs w:val="18"/>
        </w:rPr>
      </w:pPr>
      <w:r>
        <w:rPr>
          <w:rFonts w:hint="eastAsia"/>
          <w:szCs w:val="20"/>
        </w:rPr>
        <w:t>A.</w:t>
      </w:r>
      <w:r>
        <w:rPr>
          <w:rFonts w:hint="eastAsia"/>
        </w:rPr>
        <w:t>2 标志牌应采用矩形，高速公路采用绿底，国道采用蓝底，标志的文字和边框采用白色。</w:t>
      </w:r>
    </w:p>
    <w:p w14:paraId="7477CD0D">
      <w:pPr>
        <w:pStyle w:val="59"/>
      </w:pPr>
      <w:r>
        <w:rPr>
          <w:rFonts w:hint="eastAsia"/>
        </w:rPr>
        <w:t>A.3 标志尺寸应统一采用160cmx120cm，路标汉字高度、位置见图A.2。</w:t>
      </w:r>
    </w:p>
    <w:p w14:paraId="33026F4C">
      <w:pPr>
        <w:pStyle w:val="59"/>
        <w:jc w:val="center"/>
      </w:pPr>
      <w:r>
        <w:drawing>
          <wp:inline distT="0" distB="0" distL="0" distR="0">
            <wp:extent cx="3495675" cy="2579370"/>
            <wp:effectExtent l="0" t="0" r="0" b="1905"/>
            <wp:docPr id="580121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2155"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513324" cy="2592637"/>
                    </a:xfrm>
                    <a:prstGeom prst="rect">
                      <a:avLst/>
                    </a:prstGeom>
                    <a:noFill/>
                  </pic:spPr>
                </pic:pic>
              </a:graphicData>
            </a:graphic>
          </wp:inline>
        </w:drawing>
      </w:r>
    </w:p>
    <w:p w14:paraId="7F748EF2">
      <w:pPr>
        <w:widowControl/>
        <w:jc w:val="center"/>
        <w:rPr>
          <w:rFonts w:ascii="Times New Roman" w:hAnsi="Times New Roman"/>
          <w:sz w:val="20"/>
          <w:szCs w:val="20"/>
        </w:rPr>
      </w:pPr>
      <w:r>
        <w:rPr>
          <w:rFonts w:ascii="Times New Roman" w:hAnsi="Times New Roman" w:eastAsia="黑体"/>
          <w:color w:val="000000"/>
          <w:kern w:val="0"/>
          <w:sz w:val="20"/>
          <w:szCs w:val="20"/>
        </w:rPr>
        <w:t>图 A.2 观测点标志牌布局图</w:t>
      </w:r>
      <w:bookmarkStart w:id="162" w:name="OLE_LINK1"/>
      <w:r>
        <w:rPr>
          <w:rFonts w:hint="eastAsia" w:ascii="Times New Roman" w:hAnsi="Times New Roman" w:eastAsia="黑体"/>
          <w:color w:val="000000"/>
          <w:kern w:val="0"/>
          <w:sz w:val="20"/>
          <w:szCs w:val="20"/>
        </w:rPr>
        <w:t>（尺寸单位：mm）</w:t>
      </w:r>
      <w:bookmarkEnd w:id="162"/>
    </w:p>
    <w:p w14:paraId="359CE009">
      <w:pPr>
        <w:pStyle w:val="59"/>
        <w:jc w:val="center"/>
      </w:pPr>
      <w:r>
        <w:drawing>
          <wp:inline distT="0" distB="0" distL="0" distR="0">
            <wp:extent cx="3632200" cy="2018030"/>
            <wp:effectExtent l="0" t="0" r="0" b="0"/>
            <wp:docPr id="145122195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221958"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56847" cy="2031847"/>
                    </a:xfrm>
                    <a:prstGeom prst="rect">
                      <a:avLst/>
                    </a:prstGeom>
                    <a:noFill/>
                  </pic:spPr>
                </pic:pic>
              </a:graphicData>
            </a:graphic>
          </wp:inline>
        </w:drawing>
      </w:r>
    </w:p>
    <w:p w14:paraId="5E4B9880">
      <w:pPr>
        <w:widowControl/>
        <w:jc w:val="center"/>
        <w:rPr>
          <w:rFonts w:ascii="Times New Roman" w:hAnsi="Times New Roman"/>
          <w:sz w:val="20"/>
          <w:szCs w:val="20"/>
        </w:rPr>
      </w:pPr>
      <w:r>
        <w:rPr>
          <w:rFonts w:ascii="Times New Roman" w:hAnsi="Times New Roman" w:eastAsia="黑体"/>
          <w:color w:val="000000"/>
          <w:kern w:val="0"/>
          <w:sz w:val="20"/>
          <w:szCs w:val="20"/>
        </w:rPr>
        <w:t>图 A.2 观测点标志牌布局图</w:t>
      </w:r>
      <w:r>
        <w:rPr>
          <w:rFonts w:hint="eastAsia" w:ascii="Times New Roman" w:hAnsi="Times New Roman" w:eastAsia="黑体"/>
          <w:color w:val="000000"/>
          <w:kern w:val="0"/>
          <w:sz w:val="20"/>
          <w:szCs w:val="20"/>
        </w:rPr>
        <w:t>（尺寸单位：</w:t>
      </w:r>
      <w:r>
        <w:rPr>
          <w:rFonts w:ascii="Times New Roman" w:hAnsi="Times New Roman" w:eastAsia="黑体"/>
          <w:color w:val="000000"/>
          <w:kern w:val="0"/>
          <w:sz w:val="20"/>
          <w:szCs w:val="20"/>
        </w:rPr>
        <w:t>mm</w:t>
      </w:r>
      <w:r>
        <w:rPr>
          <w:rFonts w:hint="eastAsia" w:ascii="Times New Roman" w:hAnsi="Times New Roman" w:eastAsia="黑体"/>
          <w:color w:val="000000"/>
          <w:kern w:val="0"/>
          <w:sz w:val="20"/>
          <w:szCs w:val="20"/>
        </w:rPr>
        <w:t>）（续）</w:t>
      </w:r>
    </w:p>
    <w:p w14:paraId="15266189">
      <w:pPr>
        <w:pStyle w:val="59"/>
        <w:rPr>
          <w:sz w:val="18"/>
          <w:szCs w:val="18"/>
        </w:rPr>
      </w:pPr>
      <w:r>
        <w:rPr>
          <w:sz w:val="18"/>
          <w:szCs w:val="18"/>
        </w:rPr>
        <w:t>a 字体：方正大黑-GBK</w:t>
      </w:r>
      <w:r>
        <w:rPr>
          <w:rFonts w:hint="eastAsia"/>
          <w:sz w:val="18"/>
          <w:szCs w:val="18"/>
        </w:rPr>
        <w:t>，</w:t>
      </w:r>
      <w:r>
        <w:rPr>
          <w:sz w:val="18"/>
          <w:szCs w:val="18"/>
        </w:rPr>
        <w:t>字号：377</w:t>
      </w:r>
      <w:r>
        <w:rPr>
          <w:rFonts w:hint="eastAsia"/>
          <w:sz w:val="18"/>
          <w:szCs w:val="18"/>
        </w:rPr>
        <w:t xml:space="preserve"> </w:t>
      </w:r>
      <w:r>
        <w:rPr>
          <w:sz w:val="18"/>
          <w:szCs w:val="18"/>
        </w:rPr>
        <w:t>pt，左右居中距边框60</w:t>
      </w:r>
      <w:r>
        <w:rPr>
          <w:rFonts w:hint="eastAsia"/>
          <w:sz w:val="18"/>
          <w:szCs w:val="18"/>
        </w:rPr>
        <w:t xml:space="preserve"> </w:t>
      </w:r>
      <w:r>
        <w:rPr>
          <w:sz w:val="18"/>
          <w:szCs w:val="18"/>
        </w:rPr>
        <w:t>mm距上边130</w:t>
      </w:r>
      <w:r>
        <w:rPr>
          <w:rFonts w:hint="eastAsia"/>
          <w:sz w:val="18"/>
          <w:szCs w:val="18"/>
        </w:rPr>
        <w:t xml:space="preserve"> </w:t>
      </w:r>
      <w:r>
        <w:rPr>
          <w:sz w:val="18"/>
          <w:szCs w:val="18"/>
        </w:rPr>
        <w:t>mm。</w:t>
      </w:r>
    </w:p>
    <w:p w14:paraId="7C7881FC">
      <w:pPr>
        <w:pStyle w:val="59"/>
        <w:rPr>
          <w:sz w:val="18"/>
          <w:szCs w:val="18"/>
        </w:rPr>
      </w:pPr>
      <w:r>
        <w:rPr>
          <w:sz w:val="18"/>
          <w:szCs w:val="18"/>
        </w:rPr>
        <w:t>b 字体：方正大黑-GBK</w:t>
      </w:r>
      <w:r>
        <w:rPr>
          <w:rFonts w:hint="eastAsia"/>
          <w:sz w:val="18"/>
          <w:szCs w:val="18"/>
        </w:rPr>
        <w:t>，</w:t>
      </w:r>
      <w:r>
        <w:rPr>
          <w:sz w:val="18"/>
          <w:szCs w:val="18"/>
        </w:rPr>
        <w:t>字号：211</w:t>
      </w:r>
      <w:r>
        <w:rPr>
          <w:rFonts w:hint="eastAsia"/>
          <w:sz w:val="18"/>
          <w:szCs w:val="18"/>
        </w:rPr>
        <w:t xml:space="preserve"> </w:t>
      </w:r>
      <w:r>
        <w:rPr>
          <w:sz w:val="18"/>
          <w:szCs w:val="18"/>
        </w:rPr>
        <w:t>pt，左右居中距边框最小不超过60</w:t>
      </w:r>
      <w:r>
        <w:rPr>
          <w:rFonts w:hint="eastAsia"/>
          <w:sz w:val="18"/>
          <w:szCs w:val="18"/>
        </w:rPr>
        <w:t xml:space="preserve"> </w:t>
      </w:r>
      <w:r>
        <w:rPr>
          <w:sz w:val="18"/>
          <w:szCs w:val="18"/>
        </w:rPr>
        <w:t>mm距上边框400</w:t>
      </w:r>
      <w:r>
        <w:rPr>
          <w:rFonts w:hint="eastAsia"/>
          <w:sz w:val="18"/>
          <w:szCs w:val="18"/>
        </w:rPr>
        <w:t xml:space="preserve"> </w:t>
      </w:r>
      <w:r>
        <w:rPr>
          <w:sz w:val="18"/>
          <w:szCs w:val="18"/>
        </w:rPr>
        <w:t>mm，行间距65</w:t>
      </w:r>
      <w:r>
        <w:rPr>
          <w:rFonts w:hint="eastAsia"/>
          <w:sz w:val="18"/>
          <w:szCs w:val="18"/>
        </w:rPr>
        <w:t xml:space="preserve"> </w:t>
      </w:r>
      <w:r>
        <w:rPr>
          <w:sz w:val="18"/>
          <w:szCs w:val="18"/>
        </w:rPr>
        <w:t>mm。</w:t>
      </w:r>
    </w:p>
    <w:p w14:paraId="361F89BF">
      <w:pPr>
        <w:pStyle w:val="59"/>
        <w:rPr>
          <w:sz w:val="18"/>
          <w:szCs w:val="18"/>
        </w:rPr>
      </w:pPr>
      <w:r>
        <w:rPr>
          <w:sz w:val="18"/>
          <w:szCs w:val="18"/>
        </w:rPr>
        <w:t>c 字体：方正大黑-GBK</w:t>
      </w:r>
      <w:r>
        <w:rPr>
          <w:rFonts w:hint="eastAsia"/>
          <w:sz w:val="18"/>
          <w:szCs w:val="18"/>
        </w:rPr>
        <w:t>，</w:t>
      </w:r>
      <w:r>
        <w:rPr>
          <w:sz w:val="18"/>
          <w:szCs w:val="18"/>
        </w:rPr>
        <w:t>字号：130</w:t>
      </w:r>
      <w:r>
        <w:rPr>
          <w:rFonts w:hint="eastAsia"/>
          <w:sz w:val="18"/>
          <w:szCs w:val="18"/>
        </w:rPr>
        <w:t xml:space="preserve"> </w:t>
      </w:r>
      <w:r>
        <w:rPr>
          <w:sz w:val="18"/>
          <w:szCs w:val="18"/>
        </w:rPr>
        <w:t>pt，距上边650</w:t>
      </w:r>
      <w:r>
        <w:rPr>
          <w:rFonts w:hint="eastAsia"/>
          <w:sz w:val="18"/>
          <w:szCs w:val="18"/>
        </w:rPr>
        <w:t xml:space="preserve"> </w:t>
      </w:r>
      <w:r>
        <w:rPr>
          <w:sz w:val="18"/>
          <w:szCs w:val="18"/>
        </w:rPr>
        <w:t>mm。</w:t>
      </w:r>
    </w:p>
    <w:p w14:paraId="72F43F1F">
      <w:pPr>
        <w:pStyle w:val="59"/>
        <w:rPr>
          <w:sz w:val="18"/>
          <w:szCs w:val="18"/>
        </w:rPr>
      </w:pPr>
      <w:r>
        <w:rPr>
          <w:sz w:val="18"/>
          <w:szCs w:val="18"/>
        </w:rPr>
        <w:t>d 字体：黑体</w:t>
      </w:r>
      <w:r>
        <w:rPr>
          <w:rFonts w:hint="eastAsia"/>
          <w:sz w:val="18"/>
          <w:szCs w:val="18"/>
        </w:rPr>
        <w:t>，</w:t>
      </w:r>
      <w:r>
        <w:rPr>
          <w:sz w:val="18"/>
          <w:szCs w:val="18"/>
        </w:rPr>
        <w:t>字号：180</w:t>
      </w:r>
      <w:r>
        <w:rPr>
          <w:rFonts w:hint="eastAsia"/>
          <w:sz w:val="18"/>
          <w:szCs w:val="18"/>
        </w:rPr>
        <w:t xml:space="preserve"> </w:t>
      </w:r>
      <w:r>
        <w:rPr>
          <w:sz w:val="18"/>
          <w:szCs w:val="18"/>
        </w:rPr>
        <w:t>pt，右侧距边150</w:t>
      </w:r>
      <w:r>
        <w:rPr>
          <w:rFonts w:hint="eastAsia"/>
          <w:sz w:val="18"/>
          <w:szCs w:val="18"/>
        </w:rPr>
        <w:t xml:space="preserve"> </w:t>
      </w:r>
      <w:r>
        <w:rPr>
          <w:sz w:val="18"/>
          <w:szCs w:val="18"/>
        </w:rPr>
        <w:t>mm，下距边90</w:t>
      </w:r>
      <w:r>
        <w:rPr>
          <w:rFonts w:hint="eastAsia"/>
          <w:sz w:val="18"/>
          <w:szCs w:val="18"/>
        </w:rPr>
        <w:t xml:space="preserve"> </w:t>
      </w:r>
      <w:r>
        <w:rPr>
          <w:sz w:val="18"/>
          <w:szCs w:val="18"/>
        </w:rPr>
        <w:t xml:space="preserve">mm。 </w:t>
      </w:r>
    </w:p>
    <w:p w14:paraId="1F268731">
      <w:pPr>
        <w:pStyle w:val="59"/>
        <w:rPr>
          <w:sz w:val="18"/>
          <w:szCs w:val="18"/>
        </w:rPr>
      </w:pPr>
      <w:r>
        <w:rPr>
          <w:sz w:val="18"/>
          <w:szCs w:val="18"/>
        </w:rPr>
        <w:t>e 边框大小1460×1060</w:t>
      </w:r>
      <w:r>
        <w:rPr>
          <w:rFonts w:hint="eastAsia"/>
          <w:sz w:val="18"/>
          <w:szCs w:val="18"/>
        </w:rPr>
        <w:t xml:space="preserve"> pt</w:t>
      </w:r>
      <w:r>
        <w:rPr>
          <w:sz w:val="18"/>
          <w:szCs w:val="18"/>
        </w:rPr>
        <w:t>，宽度20</w:t>
      </w:r>
      <w:r>
        <w:rPr>
          <w:rFonts w:hint="eastAsia"/>
          <w:sz w:val="18"/>
          <w:szCs w:val="18"/>
        </w:rPr>
        <w:t xml:space="preserve"> </w:t>
      </w:r>
      <w:r>
        <w:rPr>
          <w:sz w:val="18"/>
          <w:szCs w:val="18"/>
        </w:rPr>
        <w:t>mm，R=50</w:t>
      </w:r>
      <w:r>
        <w:rPr>
          <w:rFonts w:hint="eastAsia"/>
          <w:sz w:val="18"/>
          <w:szCs w:val="18"/>
        </w:rPr>
        <w:t xml:space="preserve"> </w:t>
      </w:r>
      <w:r>
        <w:rPr>
          <w:sz w:val="18"/>
          <w:szCs w:val="18"/>
        </w:rPr>
        <w:t>pt。</w:t>
      </w:r>
    </w:p>
    <w:p w14:paraId="241D3141">
      <w:pPr>
        <w:pStyle w:val="59"/>
        <w:rPr>
          <w:rFonts w:eastAsia="黑体"/>
          <w:sz w:val="24"/>
          <w:szCs w:val="24"/>
        </w:rPr>
      </w:pPr>
      <w:r>
        <w:rPr>
          <w:rFonts w:hint="eastAsia"/>
        </w:rPr>
        <w:t>A.4 采用双柱式支撑方式，应距车行道或人行道的外侧边缘或土路肩30 cm位置处埋设，标志板下缘距离路面的高度为200 cm，平行于行车方向布置。</w:t>
      </w:r>
      <w:bookmarkEnd w:id="159"/>
      <w:bookmarkEnd w:id="160"/>
      <w:bookmarkEnd w:id="161"/>
    </w:p>
    <w:p w14:paraId="0EF744E9">
      <w:pPr>
        <w:adjustRightInd/>
        <w:spacing w:line="240" w:lineRule="auto"/>
        <w:jc w:val="center"/>
        <w:rPr>
          <w:szCs w:val="22"/>
        </w:rPr>
      </w:pPr>
      <w:r>
        <w:rPr>
          <w:szCs w:val="22"/>
        </w:rPr>
        <w:drawing>
          <wp:inline distT="0" distB="0" distL="114300" distR="114300">
            <wp:extent cx="1485900" cy="3175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a:stretch>
                      <a:fillRect/>
                    </a:stretch>
                  </pic:blipFill>
                  <pic:spPr>
                    <a:xfrm>
                      <a:off x="0" y="0"/>
                      <a:ext cx="1485900" cy="317500"/>
                    </a:xfrm>
                    <a:prstGeom prst="rect">
                      <a:avLst/>
                    </a:prstGeom>
                    <a:noFill/>
                    <a:ln>
                      <a:noFill/>
                    </a:ln>
                  </pic:spPr>
                </pic:pic>
              </a:graphicData>
            </a:graphic>
          </wp:inline>
        </w:drawing>
      </w:r>
    </w:p>
    <w:p w14:paraId="3F1B5E42">
      <w:pPr>
        <w:widowControl/>
        <w:adjustRightInd/>
        <w:spacing w:line="240" w:lineRule="auto"/>
        <w:jc w:val="left"/>
        <w:rPr>
          <w:rFonts w:ascii="Times New Roman" w:eastAsia="黑体"/>
          <w:sz w:val="24"/>
          <w:szCs w:val="24"/>
        </w:rPr>
      </w:pPr>
    </w:p>
    <w:sectPr>
      <w:pgSz w:w="11906" w:h="16838"/>
      <w:pgMar w:top="567"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08509">
    <w:pPr>
      <w:pStyle w:val="18"/>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212582">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6212582">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FB3FA">
    <w:pPr>
      <w:pStyle w:val="18"/>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A5536">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7BA5536">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FD7E8">
    <w:pPr>
      <w:pStyle w:val="18"/>
      <w:ind w:right="720"/>
      <w:jc w:val="both"/>
      <w:rPr>
        <w:sz w:val="2"/>
        <w:szCs w:val="2"/>
      </w:rPr>
    </w:pPr>
    <w:r>
      <w:rPr>
        <w:sz w:val="2"/>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87E60C">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7C87E60C">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B9212">
    <w:pPr>
      <w:pStyle w:val="55"/>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64356B">
                          <w:pPr>
                            <w:pStyle w:val="55"/>
                          </w:pPr>
                          <w:r>
                            <w:fldChar w:fldCharType="begin"/>
                          </w:r>
                          <w:r>
                            <w:instrText xml:space="preserve">PAGE   \* MERGEFORMAT</w:instrText>
                          </w:r>
                          <w:r>
                            <w:fldChar w:fldCharType="separate"/>
                          </w:r>
                          <w:r>
                            <w:rPr>
                              <w:lang w:val="zh-CN"/>
                            </w:rP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1164356B">
                    <w:pPr>
                      <w:pStyle w:val="55"/>
                    </w:pPr>
                    <w:r>
                      <w:fldChar w:fldCharType="begin"/>
                    </w:r>
                    <w:r>
                      <w:instrText xml:space="preserve">PAGE   \* MERGEFORMAT</w:instrText>
                    </w:r>
                    <w:r>
                      <w:fldChar w:fldCharType="separate"/>
                    </w:r>
                    <w:r>
                      <w:rPr>
                        <w:lang w:val="zh-CN"/>
                      </w:rPr>
                      <w:t>18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EB9C2">
    <w:pPr>
      <w:pStyle w:val="55"/>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858B5E">
                          <w:pPr>
                            <w:pStyle w:val="55"/>
                          </w:pPr>
                          <w:r>
                            <w:fldChar w:fldCharType="begin"/>
                          </w:r>
                          <w:r>
                            <w:instrText xml:space="preserve">PAGE   \* MERGEFORMAT</w:instrText>
                          </w:r>
                          <w:r>
                            <w:fldChar w:fldCharType="separate"/>
                          </w:r>
                          <w:r>
                            <w:rPr>
                              <w:lang w:val="zh-CN"/>
                            </w:rP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69858B5E">
                    <w:pPr>
                      <w:pStyle w:val="55"/>
                    </w:pPr>
                    <w:r>
                      <w:fldChar w:fldCharType="begin"/>
                    </w:r>
                    <w:r>
                      <w:instrText xml:space="preserve">PAGE   \* MERGEFORMAT</w:instrText>
                    </w:r>
                    <w:r>
                      <w:fldChar w:fldCharType="separate"/>
                    </w:r>
                    <w:r>
                      <w:rPr>
                        <w:lang w:val="zh-CN"/>
                      </w:rPr>
                      <w:t>18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29768">
    <w:pPr>
      <w:pStyle w:val="19"/>
      <w:wordWrap w:val="0"/>
      <w:jc w:val="right"/>
      <w:rPr>
        <w:rFonts w:hint="eastAsia" w:ascii="黑体" w:hAnsi="黑体" w:eastAsia="黑体"/>
        <w:sz w:val="21"/>
        <w:szCs w:val="21"/>
      </w:rPr>
    </w:pPr>
    <w:r>
      <w:rPr>
        <w:rFonts w:hint="eastAsia" w:ascii="黑体" w:hAnsi="黑体" w:eastAsia="黑体"/>
        <w:sz w:val="21"/>
        <w:szCs w:val="21"/>
      </w:rPr>
      <w:t>DB 37/T XXXX—20XX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5EE77">
    <w:pPr>
      <w:pStyle w:val="19"/>
      <w:wordWrap w:val="0"/>
      <w:jc w:val="right"/>
    </w:pPr>
    <w:r>
      <w:rPr>
        <w:rFonts w:hint="eastAsia" w:ascii="黑体" w:hAnsi="黑体" w:eastAsia="黑体"/>
        <w:sz w:val="21"/>
        <w:szCs w:val="21"/>
      </w:rPr>
      <w:t>DB 37/T 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B7448">
    <w:pPr>
      <w:pStyle w:val="19"/>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06AE86"/>
    <w:multiLevelType w:val="singleLevel"/>
    <w:tmpl w:val="8806AE86"/>
    <w:lvl w:ilvl="0" w:tentative="0">
      <w:start w:val="1"/>
      <w:numFmt w:val="lowerLetter"/>
      <w:suff w:val="space"/>
      <w:lvlText w:val="%1)"/>
      <w:lvlJc w:val="left"/>
    </w:lvl>
  </w:abstractNum>
  <w:abstractNum w:abstractNumId="1">
    <w:nsid w:val="A8FB27D1"/>
    <w:multiLevelType w:val="singleLevel"/>
    <w:tmpl w:val="A8FB27D1"/>
    <w:lvl w:ilvl="0" w:tentative="0">
      <w:start w:val="1"/>
      <w:numFmt w:val="lowerLetter"/>
      <w:suff w:val="space"/>
      <w:lvlText w:val="%1)"/>
      <w:lvlJc w:val="left"/>
    </w:lvl>
  </w:abstractNum>
  <w:abstractNum w:abstractNumId="2">
    <w:nsid w:val="AB390CCB"/>
    <w:multiLevelType w:val="singleLevel"/>
    <w:tmpl w:val="AB390CCB"/>
    <w:lvl w:ilvl="0" w:tentative="0">
      <w:start w:val="1"/>
      <w:numFmt w:val="lowerLetter"/>
      <w:suff w:val="space"/>
      <w:lvlText w:val="%1)"/>
      <w:lvlJc w:val="left"/>
    </w:lvl>
  </w:abstractNum>
  <w:abstractNum w:abstractNumId="3">
    <w:nsid w:val="AC6ADF65"/>
    <w:multiLevelType w:val="singleLevel"/>
    <w:tmpl w:val="AC6ADF65"/>
    <w:lvl w:ilvl="0" w:tentative="0">
      <w:start w:val="1"/>
      <w:numFmt w:val="lowerLetter"/>
      <w:suff w:val="space"/>
      <w:lvlText w:val="%1)"/>
      <w:lvlJc w:val="left"/>
    </w:lvl>
  </w:abstractNum>
  <w:abstractNum w:abstractNumId="4">
    <w:nsid w:val="B88597D3"/>
    <w:multiLevelType w:val="singleLevel"/>
    <w:tmpl w:val="B88597D3"/>
    <w:lvl w:ilvl="0" w:tentative="0">
      <w:start w:val="1"/>
      <w:numFmt w:val="lowerLetter"/>
      <w:suff w:val="space"/>
      <w:lvlText w:val="%1)"/>
      <w:lvlJc w:val="left"/>
    </w:lvl>
  </w:abstractNum>
  <w:abstractNum w:abstractNumId="5">
    <w:nsid w:val="C15C96E0"/>
    <w:multiLevelType w:val="singleLevel"/>
    <w:tmpl w:val="C15C96E0"/>
    <w:lvl w:ilvl="0" w:tentative="0">
      <w:start w:val="1"/>
      <w:numFmt w:val="lowerLetter"/>
      <w:suff w:val="space"/>
      <w:lvlText w:val="%1)"/>
      <w:lvlJc w:val="left"/>
    </w:lvl>
  </w:abstractNum>
  <w:abstractNum w:abstractNumId="6">
    <w:nsid w:val="D2B55716"/>
    <w:multiLevelType w:val="singleLevel"/>
    <w:tmpl w:val="D2B55716"/>
    <w:lvl w:ilvl="0" w:tentative="0">
      <w:start w:val="1"/>
      <w:numFmt w:val="lowerLetter"/>
      <w:suff w:val="space"/>
      <w:lvlText w:val="%1)"/>
      <w:lvlJc w:val="left"/>
    </w:lvl>
  </w:abstractNum>
  <w:abstractNum w:abstractNumId="7">
    <w:nsid w:val="D581CDFC"/>
    <w:multiLevelType w:val="singleLevel"/>
    <w:tmpl w:val="D581CDFC"/>
    <w:lvl w:ilvl="0" w:tentative="0">
      <w:start w:val="1"/>
      <w:numFmt w:val="lowerLetter"/>
      <w:suff w:val="space"/>
      <w:lvlText w:val="%1)"/>
      <w:lvlJc w:val="left"/>
    </w:lvl>
  </w:abstractNum>
  <w:abstractNum w:abstractNumId="8">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9">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5">
    <w:nsid w:val="0E371093"/>
    <w:multiLevelType w:val="singleLevel"/>
    <w:tmpl w:val="0E371093"/>
    <w:lvl w:ilvl="0" w:tentative="0">
      <w:start w:val="1"/>
      <w:numFmt w:val="lowerLetter"/>
      <w:suff w:val="space"/>
      <w:lvlText w:val="%1)"/>
      <w:lvlJc w:val="left"/>
    </w:lvl>
  </w:abstractNum>
  <w:abstractNum w:abstractNumId="16">
    <w:nsid w:val="13FBFFC7"/>
    <w:multiLevelType w:val="singleLevel"/>
    <w:tmpl w:val="13FBFFC7"/>
    <w:lvl w:ilvl="0" w:tentative="0">
      <w:start w:val="1"/>
      <w:numFmt w:val="lowerLetter"/>
      <w:suff w:val="space"/>
      <w:lvlText w:val="%1)"/>
      <w:lvlJc w:val="left"/>
    </w:lvl>
  </w:abstractNum>
  <w:abstractNum w:abstractNumId="1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1">
    <w:nsid w:val="24C7BA71"/>
    <w:multiLevelType w:val="singleLevel"/>
    <w:tmpl w:val="24C7BA71"/>
    <w:lvl w:ilvl="0" w:tentative="0">
      <w:start w:val="1"/>
      <w:numFmt w:val="lowerLetter"/>
      <w:suff w:val="space"/>
      <w:lvlText w:val="%1)"/>
      <w:lvlJc w:val="left"/>
    </w:lvl>
  </w:abstractNum>
  <w:abstractNum w:abstractNumId="22">
    <w:nsid w:val="26DF8264"/>
    <w:multiLevelType w:val="singleLevel"/>
    <w:tmpl w:val="26DF8264"/>
    <w:lvl w:ilvl="0" w:tentative="0">
      <w:start w:val="1"/>
      <w:numFmt w:val="lowerLetter"/>
      <w:suff w:val="space"/>
      <w:lvlText w:val="%1)"/>
      <w:lvlJc w:val="left"/>
    </w:lvl>
  </w:abstractNum>
  <w:abstractNum w:abstractNumId="23">
    <w:nsid w:val="27DCCAF5"/>
    <w:multiLevelType w:val="singleLevel"/>
    <w:tmpl w:val="27DCCAF5"/>
    <w:lvl w:ilvl="0" w:tentative="0">
      <w:start w:val="1"/>
      <w:numFmt w:val="lowerLetter"/>
      <w:suff w:val="space"/>
      <w:lvlText w:val="%1)"/>
      <w:lvlJc w:val="left"/>
    </w:lvl>
  </w:abstractNum>
  <w:abstractNum w:abstractNumId="24">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5">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40D960B6"/>
    <w:multiLevelType w:val="singleLevel"/>
    <w:tmpl w:val="40D960B6"/>
    <w:lvl w:ilvl="0" w:tentative="0">
      <w:start w:val="1"/>
      <w:numFmt w:val="lowerLetter"/>
      <w:suff w:val="space"/>
      <w:lvlText w:val="%1)"/>
      <w:lvlJc w:val="left"/>
    </w:lvl>
  </w:abstractNum>
  <w:abstractNum w:abstractNumId="27">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8">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9">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0">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32">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4">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568D0779"/>
    <w:multiLevelType w:val="singleLevel"/>
    <w:tmpl w:val="568D0779"/>
    <w:lvl w:ilvl="0" w:tentative="0">
      <w:start w:val="1"/>
      <w:numFmt w:val="lowerLetter"/>
      <w:suff w:val="space"/>
      <w:lvlText w:val="%1)"/>
      <w:lvlJc w:val="left"/>
    </w:lvl>
  </w:abstractNum>
  <w:abstractNum w:abstractNumId="36">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7">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8">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9">
    <w:nsid w:val="6588A873"/>
    <w:multiLevelType w:val="singleLevel"/>
    <w:tmpl w:val="6588A873"/>
    <w:lvl w:ilvl="0" w:tentative="0">
      <w:start w:val="1"/>
      <w:numFmt w:val="lowerLetter"/>
      <w:suff w:val="space"/>
      <w:lvlText w:val="%1)"/>
      <w:lvlJc w:val="left"/>
    </w:lvl>
  </w:abstractNum>
  <w:abstractNum w:abstractNumId="40">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1">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2">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3119"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4">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5">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6">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43"/>
  </w:num>
  <w:num w:numId="3">
    <w:abstractNumId w:val="13"/>
  </w:num>
  <w:num w:numId="4">
    <w:abstractNumId w:val="38"/>
  </w:num>
  <w:num w:numId="5">
    <w:abstractNumId w:val="33"/>
  </w:num>
  <w:num w:numId="6">
    <w:abstractNumId w:val="28"/>
  </w:num>
  <w:num w:numId="7">
    <w:abstractNumId w:val="18"/>
  </w:num>
  <w:num w:numId="8">
    <w:abstractNumId w:val="11"/>
  </w:num>
  <w:num w:numId="9">
    <w:abstractNumId w:val="19"/>
  </w:num>
  <w:num w:numId="10">
    <w:abstractNumId w:val="31"/>
  </w:num>
  <w:num w:numId="11">
    <w:abstractNumId w:val="41"/>
  </w:num>
  <w:num w:numId="12">
    <w:abstractNumId w:val="25"/>
  </w:num>
  <w:num w:numId="13">
    <w:abstractNumId w:val="27"/>
  </w:num>
  <w:num w:numId="14">
    <w:abstractNumId w:val="17"/>
  </w:num>
  <w:num w:numId="15">
    <w:abstractNumId w:val="34"/>
  </w:num>
  <w:num w:numId="16">
    <w:abstractNumId w:val="32"/>
  </w:num>
  <w:num w:numId="17">
    <w:abstractNumId w:val="45"/>
  </w:num>
  <w:num w:numId="18">
    <w:abstractNumId w:val="30"/>
  </w:num>
  <w:num w:numId="19">
    <w:abstractNumId w:val="9"/>
  </w:num>
  <w:num w:numId="20">
    <w:abstractNumId w:val="24"/>
  </w:num>
  <w:num w:numId="21">
    <w:abstractNumId w:val="46"/>
  </w:num>
  <w:num w:numId="22">
    <w:abstractNumId w:val="36"/>
  </w:num>
  <w:num w:numId="23">
    <w:abstractNumId w:val="14"/>
  </w:num>
  <w:num w:numId="24">
    <w:abstractNumId w:val="42"/>
  </w:num>
  <w:num w:numId="25">
    <w:abstractNumId w:val="44"/>
  </w:num>
  <w:num w:numId="26">
    <w:abstractNumId w:val="10"/>
  </w:num>
  <w:num w:numId="27">
    <w:abstractNumId w:val="12"/>
  </w:num>
  <w:num w:numId="28">
    <w:abstractNumId w:val="29"/>
  </w:num>
  <w:num w:numId="29">
    <w:abstractNumId w:val="40"/>
  </w:num>
  <w:num w:numId="30">
    <w:abstractNumId w:val="37"/>
  </w:num>
  <w:num w:numId="31">
    <w:abstractNumId w:val="20"/>
  </w:num>
  <w:num w:numId="32">
    <w:abstractNumId w:val="21"/>
  </w:num>
  <w:num w:numId="33">
    <w:abstractNumId w:val="5"/>
  </w:num>
  <w:num w:numId="34">
    <w:abstractNumId w:val="4"/>
  </w:num>
  <w:num w:numId="35">
    <w:abstractNumId w:val="3"/>
  </w:num>
  <w:num w:numId="36">
    <w:abstractNumId w:val="6"/>
  </w:num>
  <w:num w:numId="37">
    <w:abstractNumId w:val="2"/>
  </w:num>
  <w:num w:numId="38">
    <w:abstractNumId w:val="16"/>
  </w:num>
  <w:num w:numId="39">
    <w:abstractNumId w:val="7"/>
  </w:num>
  <w:num w:numId="40">
    <w:abstractNumId w:val="22"/>
  </w:num>
  <w:num w:numId="41">
    <w:abstractNumId w:val="35"/>
  </w:num>
  <w:num w:numId="42">
    <w:abstractNumId w:val="26"/>
  </w:num>
  <w:num w:numId="43">
    <w:abstractNumId w:val="1"/>
  </w:num>
  <w:num w:numId="44">
    <w:abstractNumId w:val="15"/>
  </w:num>
  <w:num w:numId="45">
    <w:abstractNumId w:val="23"/>
  </w:num>
  <w:num w:numId="46">
    <w:abstractNumId w:val="0"/>
  </w:num>
  <w:num w:numId="47">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ng shao">
    <w15:presenceInfo w15:providerId="Windows Live" w15:userId="605ac157347b9c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NiZTgyOGJlZWQxMWExMDgzNTBlYjhmZGJmYTQxOWYifQ=="/>
  </w:docVars>
  <w:rsids>
    <w:rsidRoot w:val="00901930"/>
    <w:rsid w:val="0000040A"/>
    <w:rsid w:val="00000A94"/>
    <w:rsid w:val="00000EF3"/>
    <w:rsid w:val="00001205"/>
    <w:rsid w:val="00001972"/>
    <w:rsid w:val="00001BED"/>
    <w:rsid w:val="00001D9A"/>
    <w:rsid w:val="00003A91"/>
    <w:rsid w:val="00003C77"/>
    <w:rsid w:val="00003DE5"/>
    <w:rsid w:val="00004403"/>
    <w:rsid w:val="000049C4"/>
    <w:rsid w:val="00004C4B"/>
    <w:rsid w:val="000057A2"/>
    <w:rsid w:val="00006620"/>
    <w:rsid w:val="00007B3A"/>
    <w:rsid w:val="00010138"/>
    <w:rsid w:val="000107E0"/>
    <w:rsid w:val="000109EF"/>
    <w:rsid w:val="00010A5A"/>
    <w:rsid w:val="00011A60"/>
    <w:rsid w:val="00011D38"/>
    <w:rsid w:val="00011D86"/>
    <w:rsid w:val="00011FDE"/>
    <w:rsid w:val="00012D5B"/>
    <w:rsid w:val="00012FFD"/>
    <w:rsid w:val="000136FA"/>
    <w:rsid w:val="00014162"/>
    <w:rsid w:val="00014340"/>
    <w:rsid w:val="00016A9C"/>
    <w:rsid w:val="00017138"/>
    <w:rsid w:val="000211DD"/>
    <w:rsid w:val="000218DE"/>
    <w:rsid w:val="00021D91"/>
    <w:rsid w:val="00022184"/>
    <w:rsid w:val="00022762"/>
    <w:rsid w:val="00023065"/>
    <w:rsid w:val="0002313F"/>
    <w:rsid w:val="0002383B"/>
    <w:rsid w:val="000238E0"/>
    <w:rsid w:val="00023A55"/>
    <w:rsid w:val="00024079"/>
    <w:rsid w:val="000240E5"/>
    <w:rsid w:val="000249DB"/>
    <w:rsid w:val="0002532B"/>
    <w:rsid w:val="0002595E"/>
    <w:rsid w:val="00025D74"/>
    <w:rsid w:val="00025F96"/>
    <w:rsid w:val="00026247"/>
    <w:rsid w:val="000303C3"/>
    <w:rsid w:val="00032135"/>
    <w:rsid w:val="000326FD"/>
    <w:rsid w:val="00032B9C"/>
    <w:rsid w:val="00032F7B"/>
    <w:rsid w:val="000331D3"/>
    <w:rsid w:val="000335AC"/>
    <w:rsid w:val="00033712"/>
    <w:rsid w:val="0003381E"/>
    <w:rsid w:val="00033BBC"/>
    <w:rsid w:val="000340A8"/>
    <w:rsid w:val="000342BA"/>
    <w:rsid w:val="000346A5"/>
    <w:rsid w:val="000354D1"/>
    <w:rsid w:val="000359C3"/>
    <w:rsid w:val="00035A7D"/>
    <w:rsid w:val="000361C5"/>
    <w:rsid w:val="000365ED"/>
    <w:rsid w:val="00036A2A"/>
    <w:rsid w:val="00037752"/>
    <w:rsid w:val="000402D6"/>
    <w:rsid w:val="000408F4"/>
    <w:rsid w:val="00040CA9"/>
    <w:rsid w:val="00040FF0"/>
    <w:rsid w:val="0004249A"/>
    <w:rsid w:val="00042FA0"/>
    <w:rsid w:val="00043282"/>
    <w:rsid w:val="0004385E"/>
    <w:rsid w:val="00044286"/>
    <w:rsid w:val="000445EB"/>
    <w:rsid w:val="00044CF4"/>
    <w:rsid w:val="00047ACE"/>
    <w:rsid w:val="00047F28"/>
    <w:rsid w:val="000503AA"/>
    <w:rsid w:val="000506A1"/>
    <w:rsid w:val="000515DD"/>
    <w:rsid w:val="0005265A"/>
    <w:rsid w:val="000533BF"/>
    <w:rsid w:val="000539DD"/>
    <w:rsid w:val="00053BD3"/>
    <w:rsid w:val="00053ED5"/>
    <w:rsid w:val="000541AD"/>
    <w:rsid w:val="00054B0E"/>
    <w:rsid w:val="000556ED"/>
    <w:rsid w:val="00055FE2"/>
    <w:rsid w:val="0005616F"/>
    <w:rsid w:val="000567B5"/>
    <w:rsid w:val="00060C2E"/>
    <w:rsid w:val="00061033"/>
    <w:rsid w:val="000619E9"/>
    <w:rsid w:val="000622D4"/>
    <w:rsid w:val="00063150"/>
    <w:rsid w:val="0006357D"/>
    <w:rsid w:val="00063B20"/>
    <w:rsid w:val="00064121"/>
    <w:rsid w:val="000666CF"/>
    <w:rsid w:val="00066E19"/>
    <w:rsid w:val="00067F1E"/>
    <w:rsid w:val="00070BB4"/>
    <w:rsid w:val="00071CC0"/>
    <w:rsid w:val="0007298C"/>
    <w:rsid w:val="00072DDF"/>
    <w:rsid w:val="00073C8C"/>
    <w:rsid w:val="00074848"/>
    <w:rsid w:val="00074DCF"/>
    <w:rsid w:val="00074EA3"/>
    <w:rsid w:val="0007531A"/>
    <w:rsid w:val="00075ECA"/>
    <w:rsid w:val="000760B1"/>
    <w:rsid w:val="000761E1"/>
    <w:rsid w:val="0007660E"/>
    <w:rsid w:val="00077B64"/>
    <w:rsid w:val="00077BCC"/>
    <w:rsid w:val="00080A1C"/>
    <w:rsid w:val="00082317"/>
    <w:rsid w:val="00083790"/>
    <w:rsid w:val="00083D2C"/>
    <w:rsid w:val="00084294"/>
    <w:rsid w:val="0008494D"/>
    <w:rsid w:val="00084FCF"/>
    <w:rsid w:val="000850DD"/>
    <w:rsid w:val="00085E18"/>
    <w:rsid w:val="00086AA1"/>
    <w:rsid w:val="00087596"/>
    <w:rsid w:val="000875E7"/>
    <w:rsid w:val="00087A77"/>
    <w:rsid w:val="0009012E"/>
    <w:rsid w:val="0009095F"/>
    <w:rsid w:val="00090CA6"/>
    <w:rsid w:val="000920B0"/>
    <w:rsid w:val="0009252C"/>
    <w:rsid w:val="00092B8A"/>
    <w:rsid w:val="00092FB0"/>
    <w:rsid w:val="000934C5"/>
    <w:rsid w:val="00093D25"/>
    <w:rsid w:val="00093DAB"/>
    <w:rsid w:val="00094D73"/>
    <w:rsid w:val="00095291"/>
    <w:rsid w:val="00095BC3"/>
    <w:rsid w:val="00096789"/>
    <w:rsid w:val="00096D63"/>
    <w:rsid w:val="00097986"/>
    <w:rsid w:val="00097CC1"/>
    <w:rsid w:val="000A0784"/>
    <w:rsid w:val="000A0B60"/>
    <w:rsid w:val="000A0EB8"/>
    <w:rsid w:val="000A19FC"/>
    <w:rsid w:val="000A1CF9"/>
    <w:rsid w:val="000A20C3"/>
    <w:rsid w:val="000A296B"/>
    <w:rsid w:val="000A299B"/>
    <w:rsid w:val="000A2B96"/>
    <w:rsid w:val="000A3196"/>
    <w:rsid w:val="000A4CDE"/>
    <w:rsid w:val="000A57C0"/>
    <w:rsid w:val="000A5D5D"/>
    <w:rsid w:val="000A60A4"/>
    <w:rsid w:val="000A6380"/>
    <w:rsid w:val="000A63FB"/>
    <w:rsid w:val="000A7311"/>
    <w:rsid w:val="000A744B"/>
    <w:rsid w:val="000A7461"/>
    <w:rsid w:val="000A74B2"/>
    <w:rsid w:val="000A782D"/>
    <w:rsid w:val="000B060F"/>
    <w:rsid w:val="000B0FC2"/>
    <w:rsid w:val="000B1592"/>
    <w:rsid w:val="000B1F20"/>
    <w:rsid w:val="000B1FF2"/>
    <w:rsid w:val="000B3CDA"/>
    <w:rsid w:val="000B5716"/>
    <w:rsid w:val="000B675B"/>
    <w:rsid w:val="000B6A0B"/>
    <w:rsid w:val="000B6B4E"/>
    <w:rsid w:val="000B7AD6"/>
    <w:rsid w:val="000C0F6C"/>
    <w:rsid w:val="000C1050"/>
    <w:rsid w:val="000C11DB"/>
    <w:rsid w:val="000C1367"/>
    <w:rsid w:val="000C1492"/>
    <w:rsid w:val="000C1700"/>
    <w:rsid w:val="000C2FBD"/>
    <w:rsid w:val="000C33F4"/>
    <w:rsid w:val="000C4B41"/>
    <w:rsid w:val="000C4F5B"/>
    <w:rsid w:val="000C51C8"/>
    <w:rsid w:val="000C57D6"/>
    <w:rsid w:val="000C5A08"/>
    <w:rsid w:val="000C5B5D"/>
    <w:rsid w:val="000C6254"/>
    <w:rsid w:val="000C6362"/>
    <w:rsid w:val="000C6C3A"/>
    <w:rsid w:val="000C7666"/>
    <w:rsid w:val="000D0A9C"/>
    <w:rsid w:val="000D13DE"/>
    <w:rsid w:val="000D1795"/>
    <w:rsid w:val="000D21A6"/>
    <w:rsid w:val="000D329A"/>
    <w:rsid w:val="000D399F"/>
    <w:rsid w:val="000D3BC9"/>
    <w:rsid w:val="000D4B9C"/>
    <w:rsid w:val="000D4EB6"/>
    <w:rsid w:val="000D68AB"/>
    <w:rsid w:val="000D6DC7"/>
    <w:rsid w:val="000D753B"/>
    <w:rsid w:val="000E01ED"/>
    <w:rsid w:val="000E4C2A"/>
    <w:rsid w:val="000E4C9E"/>
    <w:rsid w:val="000E5F52"/>
    <w:rsid w:val="000E6FD7"/>
    <w:rsid w:val="000E7338"/>
    <w:rsid w:val="000E7C76"/>
    <w:rsid w:val="000E7E0F"/>
    <w:rsid w:val="000F06E1"/>
    <w:rsid w:val="000F0978"/>
    <w:rsid w:val="000F0E3C"/>
    <w:rsid w:val="000F10D8"/>
    <w:rsid w:val="000F19D5"/>
    <w:rsid w:val="000F1F51"/>
    <w:rsid w:val="000F233D"/>
    <w:rsid w:val="000F3651"/>
    <w:rsid w:val="000F381B"/>
    <w:rsid w:val="000F3D16"/>
    <w:rsid w:val="000F4AEA"/>
    <w:rsid w:val="000F536D"/>
    <w:rsid w:val="000F5C99"/>
    <w:rsid w:val="000F5FB0"/>
    <w:rsid w:val="000F633F"/>
    <w:rsid w:val="000F67E9"/>
    <w:rsid w:val="00100351"/>
    <w:rsid w:val="00100AC3"/>
    <w:rsid w:val="00102084"/>
    <w:rsid w:val="00102200"/>
    <w:rsid w:val="0010282D"/>
    <w:rsid w:val="00102C0A"/>
    <w:rsid w:val="001041F6"/>
    <w:rsid w:val="001042B7"/>
    <w:rsid w:val="00104926"/>
    <w:rsid w:val="001054F1"/>
    <w:rsid w:val="00106E16"/>
    <w:rsid w:val="0010772C"/>
    <w:rsid w:val="001106D7"/>
    <w:rsid w:val="00112D4D"/>
    <w:rsid w:val="00113812"/>
    <w:rsid w:val="00113B1E"/>
    <w:rsid w:val="0011711C"/>
    <w:rsid w:val="001171D3"/>
    <w:rsid w:val="0012059C"/>
    <w:rsid w:val="00120D88"/>
    <w:rsid w:val="0012186E"/>
    <w:rsid w:val="001241E6"/>
    <w:rsid w:val="00124E4F"/>
    <w:rsid w:val="00125DC3"/>
    <w:rsid w:val="00125FCE"/>
    <w:rsid w:val="001260B7"/>
    <w:rsid w:val="001265CB"/>
    <w:rsid w:val="00127B34"/>
    <w:rsid w:val="00127EA8"/>
    <w:rsid w:val="0013094D"/>
    <w:rsid w:val="00130C3A"/>
    <w:rsid w:val="001321C6"/>
    <w:rsid w:val="0013227F"/>
    <w:rsid w:val="001325C4"/>
    <w:rsid w:val="001329A6"/>
    <w:rsid w:val="00133010"/>
    <w:rsid w:val="00133135"/>
    <w:rsid w:val="001338EE"/>
    <w:rsid w:val="00133AAE"/>
    <w:rsid w:val="00134929"/>
    <w:rsid w:val="001350F1"/>
    <w:rsid w:val="00135323"/>
    <w:rsid w:val="00135456"/>
    <w:rsid w:val="001356C4"/>
    <w:rsid w:val="00135C38"/>
    <w:rsid w:val="00136047"/>
    <w:rsid w:val="00136E41"/>
    <w:rsid w:val="00140D03"/>
    <w:rsid w:val="00141114"/>
    <w:rsid w:val="00141425"/>
    <w:rsid w:val="00142969"/>
    <w:rsid w:val="00144593"/>
    <w:rsid w:val="001446C2"/>
    <w:rsid w:val="00144D7D"/>
    <w:rsid w:val="001457E7"/>
    <w:rsid w:val="00145D9D"/>
    <w:rsid w:val="00146388"/>
    <w:rsid w:val="0015008C"/>
    <w:rsid w:val="00150213"/>
    <w:rsid w:val="0015083A"/>
    <w:rsid w:val="001510DA"/>
    <w:rsid w:val="001511B3"/>
    <w:rsid w:val="001511E1"/>
    <w:rsid w:val="00151599"/>
    <w:rsid w:val="00151C0C"/>
    <w:rsid w:val="0015269C"/>
    <w:rsid w:val="00152729"/>
    <w:rsid w:val="001527B1"/>
    <w:rsid w:val="001529E5"/>
    <w:rsid w:val="00152E7A"/>
    <w:rsid w:val="001535F4"/>
    <w:rsid w:val="00153C7E"/>
    <w:rsid w:val="001555D9"/>
    <w:rsid w:val="001563A1"/>
    <w:rsid w:val="0015693B"/>
    <w:rsid w:val="00156B25"/>
    <w:rsid w:val="00156E1A"/>
    <w:rsid w:val="00157894"/>
    <w:rsid w:val="00157B55"/>
    <w:rsid w:val="0016104F"/>
    <w:rsid w:val="0016137C"/>
    <w:rsid w:val="00161A2B"/>
    <w:rsid w:val="00162612"/>
    <w:rsid w:val="00163A74"/>
    <w:rsid w:val="00163B75"/>
    <w:rsid w:val="001642FA"/>
    <w:rsid w:val="001649EB"/>
    <w:rsid w:val="00164B57"/>
    <w:rsid w:val="00164BAF"/>
    <w:rsid w:val="00164FA8"/>
    <w:rsid w:val="00165065"/>
    <w:rsid w:val="00165434"/>
    <w:rsid w:val="0016580B"/>
    <w:rsid w:val="00165968"/>
    <w:rsid w:val="00165F49"/>
    <w:rsid w:val="00165FC0"/>
    <w:rsid w:val="00166B88"/>
    <w:rsid w:val="0016770A"/>
    <w:rsid w:val="00170670"/>
    <w:rsid w:val="00170804"/>
    <w:rsid w:val="001708E9"/>
    <w:rsid w:val="00170F65"/>
    <w:rsid w:val="001729A2"/>
    <w:rsid w:val="00172EA3"/>
    <w:rsid w:val="0017340B"/>
    <w:rsid w:val="00173FB1"/>
    <w:rsid w:val="00175DD2"/>
    <w:rsid w:val="00176DFD"/>
    <w:rsid w:val="00180490"/>
    <w:rsid w:val="001806B0"/>
    <w:rsid w:val="00181AA4"/>
    <w:rsid w:val="001840DC"/>
    <w:rsid w:val="001852C9"/>
    <w:rsid w:val="001879C0"/>
    <w:rsid w:val="00190087"/>
    <w:rsid w:val="001907C8"/>
    <w:rsid w:val="001913C4"/>
    <w:rsid w:val="00191CB3"/>
    <w:rsid w:val="0019348F"/>
    <w:rsid w:val="00193A07"/>
    <w:rsid w:val="00193C18"/>
    <w:rsid w:val="00194289"/>
    <w:rsid w:val="00194415"/>
    <w:rsid w:val="00194C95"/>
    <w:rsid w:val="00195A01"/>
    <w:rsid w:val="00195C34"/>
    <w:rsid w:val="00196798"/>
    <w:rsid w:val="00196EF5"/>
    <w:rsid w:val="001975BA"/>
    <w:rsid w:val="001A0058"/>
    <w:rsid w:val="001A0B16"/>
    <w:rsid w:val="001A1A53"/>
    <w:rsid w:val="001A21BC"/>
    <w:rsid w:val="001A234A"/>
    <w:rsid w:val="001A2850"/>
    <w:rsid w:val="001A353D"/>
    <w:rsid w:val="001A4CF3"/>
    <w:rsid w:val="001A5719"/>
    <w:rsid w:val="001A65BB"/>
    <w:rsid w:val="001A6631"/>
    <w:rsid w:val="001A6BED"/>
    <w:rsid w:val="001A7428"/>
    <w:rsid w:val="001A77F5"/>
    <w:rsid w:val="001B06E8"/>
    <w:rsid w:val="001B0FA0"/>
    <w:rsid w:val="001B199E"/>
    <w:rsid w:val="001B30EB"/>
    <w:rsid w:val="001B5A7E"/>
    <w:rsid w:val="001B65F9"/>
    <w:rsid w:val="001B689D"/>
    <w:rsid w:val="001B6D7B"/>
    <w:rsid w:val="001B71D0"/>
    <w:rsid w:val="001B71EE"/>
    <w:rsid w:val="001B74E5"/>
    <w:rsid w:val="001C04A8"/>
    <w:rsid w:val="001C159F"/>
    <w:rsid w:val="001C1B94"/>
    <w:rsid w:val="001C27AA"/>
    <w:rsid w:val="001C28AA"/>
    <w:rsid w:val="001C2C03"/>
    <w:rsid w:val="001C2E85"/>
    <w:rsid w:val="001C42F7"/>
    <w:rsid w:val="001C49E5"/>
    <w:rsid w:val="001C5053"/>
    <w:rsid w:val="001C5F4A"/>
    <w:rsid w:val="001C680C"/>
    <w:rsid w:val="001C7155"/>
    <w:rsid w:val="001C733C"/>
    <w:rsid w:val="001C79E6"/>
    <w:rsid w:val="001C7FEA"/>
    <w:rsid w:val="001D0499"/>
    <w:rsid w:val="001D0BBE"/>
    <w:rsid w:val="001D0ED4"/>
    <w:rsid w:val="001D1F55"/>
    <w:rsid w:val="001D212F"/>
    <w:rsid w:val="001D2564"/>
    <w:rsid w:val="001D29D7"/>
    <w:rsid w:val="001D2DE7"/>
    <w:rsid w:val="001D411C"/>
    <w:rsid w:val="001D4E8C"/>
    <w:rsid w:val="001D4EDE"/>
    <w:rsid w:val="001D5033"/>
    <w:rsid w:val="001D716E"/>
    <w:rsid w:val="001D795F"/>
    <w:rsid w:val="001E007A"/>
    <w:rsid w:val="001E1383"/>
    <w:rsid w:val="001E1B6A"/>
    <w:rsid w:val="001E2075"/>
    <w:rsid w:val="001E2380"/>
    <w:rsid w:val="001E2484"/>
    <w:rsid w:val="001E2626"/>
    <w:rsid w:val="001E3CC4"/>
    <w:rsid w:val="001E4882"/>
    <w:rsid w:val="001E56FB"/>
    <w:rsid w:val="001E639F"/>
    <w:rsid w:val="001E66EA"/>
    <w:rsid w:val="001E73AB"/>
    <w:rsid w:val="001F02B0"/>
    <w:rsid w:val="001F092D"/>
    <w:rsid w:val="001F143A"/>
    <w:rsid w:val="001F1605"/>
    <w:rsid w:val="001F2508"/>
    <w:rsid w:val="001F36CF"/>
    <w:rsid w:val="001F4816"/>
    <w:rsid w:val="001F4EE9"/>
    <w:rsid w:val="001F6480"/>
    <w:rsid w:val="001F69B4"/>
    <w:rsid w:val="001F7031"/>
    <w:rsid w:val="001F7280"/>
    <w:rsid w:val="001F7369"/>
    <w:rsid w:val="001F77C7"/>
    <w:rsid w:val="00200183"/>
    <w:rsid w:val="00200333"/>
    <w:rsid w:val="00200C07"/>
    <w:rsid w:val="00200E6B"/>
    <w:rsid w:val="0020107D"/>
    <w:rsid w:val="0020259A"/>
    <w:rsid w:val="00202AA4"/>
    <w:rsid w:val="002031F7"/>
    <w:rsid w:val="00203ACE"/>
    <w:rsid w:val="002040E6"/>
    <w:rsid w:val="00204A41"/>
    <w:rsid w:val="00204DD3"/>
    <w:rsid w:val="00204F92"/>
    <w:rsid w:val="0020527B"/>
    <w:rsid w:val="00205F2C"/>
    <w:rsid w:val="00205FA1"/>
    <w:rsid w:val="0021027A"/>
    <w:rsid w:val="00210456"/>
    <w:rsid w:val="002104EF"/>
    <w:rsid w:val="00210B15"/>
    <w:rsid w:val="00214189"/>
    <w:rsid w:val="002141FB"/>
    <w:rsid w:val="002142EA"/>
    <w:rsid w:val="00214C12"/>
    <w:rsid w:val="002204BB"/>
    <w:rsid w:val="00221952"/>
    <w:rsid w:val="00221B79"/>
    <w:rsid w:val="00221C6B"/>
    <w:rsid w:val="00222031"/>
    <w:rsid w:val="0022512C"/>
    <w:rsid w:val="00225393"/>
    <w:rsid w:val="002253A1"/>
    <w:rsid w:val="00225970"/>
    <w:rsid w:val="00225AE0"/>
    <w:rsid w:val="00225CF8"/>
    <w:rsid w:val="00225F97"/>
    <w:rsid w:val="0022794E"/>
    <w:rsid w:val="002317AB"/>
    <w:rsid w:val="00232A5C"/>
    <w:rsid w:val="00232B91"/>
    <w:rsid w:val="00233D64"/>
    <w:rsid w:val="0023482A"/>
    <w:rsid w:val="002353E1"/>
    <w:rsid w:val="0023590E"/>
    <w:rsid w:val="002359CB"/>
    <w:rsid w:val="002375F8"/>
    <w:rsid w:val="00237F6B"/>
    <w:rsid w:val="002407AD"/>
    <w:rsid w:val="00240ACF"/>
    <w:rsid w:val="00242061"/>
    <w:rsid w:val="002431B3"/>
    <w:rsid w:val="00243540"/>
    <w:rsid w:val="00244023"/>
    <w:rsid w:val="0024467D"/>
    <w:rsid w:val="0024497B"/>
    <w:rsid w:val="0024515B"/>
    <w:rsid w:val="0024518F"/>
    <w:rsid w:val="00245F79"/>
    <w:rsid w:val="00246021"/>
    <w:rsid w:val="00246079"/>
    <w:rsid w:val="0024666E"/>
    <w:rsid w:val="00246861"/>
    <w:rsid w:val="00246C67"/>
    <w:rsid w:val="0024742B"/>
    <w:rsid w:val="00247F52"/>
    <w:rsid w:val="00250320"/>
    <w:rsid w:val="002503ED"/>
    <w:rsid w:val="00250B25"/>
    <w:rsid w:val="00250BBE"/>
    <w:rsid w:val="00250EBB"/>
    <w:rsid w:val="002515C2"/>
    <w:rsid w:val="0025189F"/>
    <w:rsid w:val="0025194F"/>
    <w:rsid w:val="00251C23"/>
    <w:rsid w:val="00253410"/>
    <w:rsid w:val="002534F8"/>
    <w:rsid w:val="002547FA"/>
    <w:rsid w:val="002550EB"/>
    <w:rsid w:val="00255AE8"/>
    <w:rsid w:val="00256817"/>
    <w:rsid w:val="00257AB9"/>
    <w:rsid w:val="002601F3"/>
    <w:rsid w:val="0026148A"/>
    <w:rsid w:val="00261B6F"/>
    <w:rsid w:val="00261D5F"/>
    <w:rsid w:val="00262529"/>
    <w:rsid w:val="00262696"/>
    <w:rsid w:val="00263D25"/>
    <w:rsid w:val="002643C3"/>
    <w:rsid w:val="00264A0C"/>
    <w:rsid w:val="00264B7C"/>
    <w:rsid w:val="00265227"/>
    <w:rsid w:val="00265305"/>
    <w:rsid w:val="00265B6C"/>
    <w:rsid w:val="00266412"/>
    <w:rsid w:val="00266EEB"/>
    <w:rsid w:val="00267EF4"/>
    <w:rsid w:val="00270AB6"/>
    <w:rsid w:val="00270CB8"/>
    <w:rsid w:val="00271153"/>
    <w:rsid w:val="00272B08"/>
    <w:rsid w:val="0027397A"/>
    <w:rsid w:val="00277B7E"/>
    <w:rsid w:val="00281BB8"/>
    <w:rsid w:val="00281E9E"/>
    <w:rsid w:val="00282405"/>
    <w:rsid w:val="002829DC"/>
    <w:rsid w:val="002846BA"/>
    <w:rsid w:val="00285170"/>
    <w:rsid w:val="00285361"/>
    <w:rsid w:val="00285623"/>
    <w:rsid w:val="00285B1B"/>
    <w:rsid w:val="00285D41"/>
    <w:rsid w:val="00287AF3"/>
    <w:rsid w:val="00287BB2"/>
    <w:rsid w:val="00290160"/>
    <w:rsid w:val="00290E41"/>
    <w:rsid w:val="00291772"/>
    <w:rsid w:val="00291CA0"/>
    <w:rsid w:val="00291DC9"/>
    <w:rsid w:val="002920B6"/>
    <w:rsid w:val="00292AA6"/>
    <w:rsid w:val="00292D60"/>
    <w:rsid w:val="00293B30"/>
    <w:rsid w:val="00293EF5"/>
    <w:rsid w:val="0029429B"/>
    <w:rsid w:val="0029481D"/>
    <w:rsid w:val="0029495E"/>
    <w:rsid w:val="00294D34"/>
    <w:rsid w:val="00294E3B"/>
    <w:rsid w:val="00296193"/>
    <w:rsid w:val="00296C66"/>
    <w:rsid w:val="00296EBE"/>
    <w:rsid w:val="002974E3"/>
    <w:rsid w:val="00297DC8"/>
    <w:rsid w:val="002A0830"/>
    <w:rsid w:val="002A084B"/>
    <w:rsid w:val="002A11F9"/>
    <w:rsid w:val="002A1260"/>
    <w:rsid w:val="002A1589"/>
    <w:rsid w:val="002A1608"/>
    <w:rsid w:val="002A1FA0"/>
    <w:rsid w:val="002A25DC"/>
    <w:rsid w:val="002A397A"/>
    <w:rsid w:val="002A3AAB"/>
    <w:rsid w:val="002A4CEA"/>
    <w:rsid w:val="002A4CFC"/>
    <w:rsid w:val="002A5977"/>
    <w:rsid w:val="002A5A13"/>
    <w:rsid w:val="002A7458"/>
    <w:rsid w:val="002A7578"/>
    <w:rsid w:val="002A757F"/>
    <w:rsid w:val="002A7A2E"/>
    <w:rsid w:val="002A7F44"/>
    <w:rsid w:val="002B07EA"/>
    <w:rsid w:val="002B0C40"/>
    <w:rsid w:val="002B0F0D"/>
    <w:rsid w:val="002B1966"/>
    <w:rsid w:val="002B2201"/>
    <w:rsid w:val="002B4508"/>
    <w:rsid w:val="002B5779"/>
    <w:rsid w:val="002B7289"/>
    <w:rsid w:val="002B7332"/>
    <w:rsid w:val="002B7F51"/>
    <w:rsid w:val="002C09E7"/>
    <w:rsid w:val="002C151C"/>
    <w:rsid w:val="002C1E06"/>
    <w:rsid w:val="002C1E1C"/>
    <w:rsid w:val="002C3F07"/>
    <w:rsid w:val="002C5278"/>
    <w:rsid w:val="002C5857"/>
    <w:rsid w:val="002C6FE4"/>
    <w:rsid w:val="002C77AA"/>
    <w:rsid w:val="002C7EBB"/>
    <w:rsid w:val="002D06C1"/>
    <w:rsid w:val="002D144D"/>
    <w:rsid w:val="002D1CE7"/>
    <w:rsid w:val="002D3298"/>
    <w:rsid w:val="002D42B5"/>
    <w:rsid w:val="002D4E44"/>
    <w:rsid w:val="002D4F1A"/>
    <w:rsid w:val="002D51C3"/>
    <w:rsid w:val="002D6EC6"/>
    <w:rsid w:val="002D79AC"/>
    <w:rsid w:val="002E039D"/>
    <w:rsid w:val="002E0718"/>
    <w:rsid w:val="002E08FC"/>
    <w:rsid w:val="002E1A28"/>
    <w:rsid w:val="002E20F4"/>
    <w:rsid w:val="002E2EE3"/>
    <w:rsid w:val="002E3228"/>
    <w:rsid w:val="002E3B13"/>
    <w:rsid w:val="002E3ECA"/>
    <w:rsid w:val="002E4363"/>
    <w:rsid w:val="002E4451"/>
    <w:rsid w:val="002E4D5A"/>
    <w:rsid w:val="002E52AF"/>
    <w:rsid w:val="002E6326"/>
    <w:rsid w:val="002E690C"/>
    <w:rsid w:val="002E6DA0"/>
    <w:rsid w:val="002E6F36"/>
    <w:rsid w:val="002E6FAB"/>
    <w:rsid w:val="002E71A1"/>
    <w:rsid w:val="002E7E14"/>
    <w:rsid w:val="002F1156"/>
    <w:rsid w:val="002F30C5"/>
    <w:rsid w:val="002F30E0"/>
    <w:rsid w:val="002F35E4"/>
    <w:rsid w:val="002F3730"/>
    <w:rsid w:val="002F38E1"/>
    <w:rsid w:val="002F4135"/>
    <w:rsid w:val="002F5DBA"/>
    <w:rsid w:val="002F6CD5"/>
    <w:rsid w:val="002F7AF6"/>
    <w:rsid w:val="00300E63"/>
    <w:rsid w:val="00302036"/>
    <w:rsid w:val="00302F5F"/>
    <w:rsid w:val="00303B9C"/>
    <w:rsid w:val="0030441D"/>
    <w:rsid w:val="003050EE"/>
    <w:rsid w:val="00305929"/>
    <w:rsid w:val="00306063"/>
    <w:rsid w:val="003069E2"/>
    <w:rsid w:val="003070D5"/>
    <w:rsid w:val="00310AA8"/>
    <w:rsid w:val="00310B6C"/>
    <w:rsid w:val="00310F74"/>
    <w:rsid w:val="003110C9"/>
    <w:rsid w:val="00311107"/>
    <w:rsid w:val="003115AE"/>
    <w:rsid w:val="00311C89"/>
    <w:rsid w:val="00311CF8"/>
    <w:rsid w:val="00311F9C"/>
    <w:rsid w:val="00312CD2"/>
    <w:rsid w:val="003134D8"/>
    <w:rsid w:val="00313B85"/>
    <w:rsid w:val="00314CD2"/>
    <w:rsid w:val="00315498"/>
    <w:rsid w:val="003157E2"/>
    <w:rsid w:val="003159B8"/>
    <w:rsid w:val="00317024"/>
    <w:rsid w:val="00317988"/>
    <w:rsid w:val="00320C53"/>
    <w:rsid w:val="00321A56"/>
    <w:rsid w:val="00321FB3"/>
    <w:rsid w:val="003221B4"/>
    <w:rsid w:val="0032258D"/>
    <w:rsid w:val="00322E62"/>
    <w:rsid w:val="0032320A"/>
    <w:rsid w:val="00324D13"/>
    <w:rsid w:val="00324D2A"/>
    <w:rsid w:val="00324EDD"/>
    <w:rsid w:val="0032619A"/>
    <w:rsid w:val="00326346"/>
    <w:rsid w:val="00327608"/>
    <w:rsid w:val="003279F1"/>
    <w:rsid w:val="00327A71"/>
    <w:rsid w:val="0033144F"/>
    <w:rsid w:val="003329A7"/>
    <w:rsid w:val="003331E4"/>
    <w:rsid w:val="003354A0"/>
    <w:rsid w:val="00336C64"/>
    <w:rsid w:val="00336E2C"/>
    <w:rsid w:val="00337101"/>
    <w:rsid w:val="00337162"/>
    <w:rsid w:val="00340BA8"/>
    <w:rsid w:val="003413DB"/>
    <w:rsid w:val="0034147D"/>
    <w:rsid w:val="00341760"/>
    <w:rsid w:val="00341809"/>
    <w:rsid w:val="0034194F"/>
    <w:rsid w:val="0034220B"/>
    <w:rsid w:val="0034366A"/>
    <w:rsid w:val="00343900"/>
    <w:rsid w:val="00343AC8"/>
    <w:rsid w:val="0034401D"/>
    <w:rsid w:val="00344203"/>
    <w:rsid w:val="00344605"/>
    <w:rsid w:val="00346086"/>
    <w:rsid w:val="00346A52"/>
    <w:rsid w:val="00347252"/>
    <w:rsid w:val="003474AA"/>
    <w:rsid w:val="003474E1"/>
    <w:rsid w:val="00350114"/>
    <w:rsid w:val="00350D1D"/>
    <w:rsid w:val="003515B9"/>
    <w:rsid w:val="0035271C"/>
    <w:rsid w:val="00352C83"/>
    <w:rsid w:val="003543B5"/>
    <w:rsid w:val="0035516F"/>
    <w:rsid w:val="003561E1"/>
    <w:rsid w:val="003615D2"/>
    <w:rsid w:val="00361C3E"/>
    <w:rsid w:val="00361CA5"/>
    <w:rsid w:val="00361E70"/>
    <w:rsid w:val="0036216C"/>
    <w:rsid w:val="00362197"/>
    <w:rsid w:val="00362E5F"/>
    <w:rsid w:val="003641E2"/>
    <w:rsid w:val="0036429C"/>
    <w:rsid w:val="0036450C"/>
    <w:rsid w:val="00364A53"/>
    <w:rsid w:val="003654CB"/>
    <w:rsid w:val="00365AA9"/>
    <w:rsid w:val="00365EB8"/>
    <w:rsid w:val="00365F86"/>
    <w:rsid w:val="00365F87"/>
    <w:rsid w:val="00366E89"/>
    <w:rsid w:val="0036775F"/>
    <w:rsid w:val="003705F4"/>
    <w:rsid w:val="00370D58"/>
    <w:rsid w:val="00371316"/>
    <w:rsid w:val="00372DDC"/>
    <w:rsid w:val="00373DBA"/>
    <w:rsid w:val="00376713"/>
    <w:rsid w:val="00377663"/>
    <w:rsid w:val="00380F84"/>
    <w:rsid w:val="00381815"/>
    <w:rsid w:val="003819AF"/>
    <w:rsid w:val="00381E05"/>
    <w:rsid w:val="003820E9"/>
    <w:rsid w:val="00382DE7"/>
    <w:rsid w:val="00384CA9"/>
    <w:rsid w:val="00384FFC"/>
    <w:rsid w:val="00386394"/>
    <w:rsid w:val="00386E75"/>
    <w:rsid w:val="003872FC"/>
    <w:rsid w:val="00387ADC"/>
    <w:rsid w:val="00387CED"/>
    <w:rsid w:val="00390020"/>
    <w:rsid w:val="003903D6"/>
    <w:rsid w:val="00390B2C"/>
    <w:rsid w:val="00390EE6"/>
    <w:rsid w:val="00390F9A"/>
    <w:rsid w:val="0039118F"/>
    <w:rsid w:val="00392AD7"/>
    <w:rsid w:val="003938D9"/>
    <w:rsid w:val="00393E86"/>
    <w:rsid w:val="00394376"/>
    <w:rsid w:val="003943FF"/>
    <w:rsid w:val="00395700"/>
    <w:rsid w:val="003957C8"/>
    <w:rsid w:val="003969D2"/>
    <w:rsid w:val="003974EB"/>
    <w:rsid w:val="00397989"/>
    <w:rsid w:val="00397CC5"/>
    <w:rsid w:val="00397FA0"/>
    <w:rsid w:val="003A0709"/>
    <w:rsid w:val="003A0AC5"/>
    <w:rsid w:val="003A1582"/>
    <w:rsid w:val="003A3ED9"/>
    <w:rsid w:val="003A4077"/>
    <w:rsid w:val="003A7473"/>
    <w:rsid w:val="003A75BA"/>
    <w:rsid w:val="003B0578"/>
    <w:rsid w:val="003B09AD"/>
    <w:rsid w:val="003B131B"/>
    <w:rsid w:val="003B1616"/>
    <w:rsid w:val="003B1F18"/>
    <w:rsid w:val="003B22D9"/>
    <w:rsid w:val="003B2780"/>
    <w:rsid w:val="003B347D"/>
    <w:rsid w:val="003B4325"/>
    <w:rsid w:val="003B5BF0"/>
    <w:rsid w:val="003B60BF"/>
    <w:rsid w:val="003B6805"/>
    <w:rsid w:val="003B6838"/>
    <w:rsid w:val="003B6957"/>
    <w:rsid w:val="003B6BE3"/>
    <w:rsid w:val="003C010C"/>
    <w:rsid w:val="003C0263"/>
    <w:rsid w:val="003C0A6C"/>
    <w:rsid w:val="003C0E1F"/>
    <w:rsid w:val="003C14F8"/>
    <w:rsid w:val="003C162B"/>
    <w:rsid w:val="003C1D32"/>
    <w:rsid w:val="003C2040"/>
    <w:rsid w:val="003C2E5B"/>
    <w:rsid w:val="003C5640"/>
    <w:rsid w:val="003C5A43"/>
    <w:rsid w:val="003C63BF"/>
    <w:rsid w:val="003C6EF3"/>
    <w:rsid w:val="003D0519"/>
    <w:rsid w:val="003D0FF6"/>
    <w:rsid w:val="003D12EF"/>
    <w:rsid w:val="003D262C"/>
    <w:rsid w:val="003D2978"/>
    <w:rsid w:val="003D3388"/>
    <w:rsid w:val="003D37C3"/>
    <w:rsid w:val="003D3C13"/>
    <w:rsid w:val="003D452B"/>
    <w:rsid w:val="003D55CC"/>
    <w:rsid w:val="003D59B8"/>
    <w:rsid w:val="003D5A9D"/>
    <w:rsid w:val="003D5BD4"/>
    <w:rsid w:val="003D6D61"/>
    <w:rsid w:val="003D6D81"/>
    <w:rsid w:val="003E0710"/>
    <w:rsid w:val="003E091D"/>
    <w:rsid w:val="003E186B"/>
    <w:rsid w:val="003E1C53"/>
    <w:rsid w:val="003E1D5F"/>
    <w:rsid w:val="003E2A69"/>
    <w:rsid w:val="003E2D49"/>
    <w:rsid w:val="003E2FD4"/>
    <w:rsid w:val="003E3B6F"/>
    <w:rsid w:val="003E49F6"/>
    <w:rsid w:val="003E660F"/>
    <w:rsid w:val="003E7275"/>
    <w:rsid w:val="003E7835"/>
    <w:rsid w:val="003E7ABC"/>
    <w:rsid w:val="003F0841"/>
    <w:rsid w:val="003F17D7"/>
    <w:rsid w:val="003F1A27"/>
    <w:rsid w:val="003F23D3"/>
    <w:rsid w:val="003F2DD6"/>
    <w:rsid w:val="003F32B3"/>
    <w:rsid w:val="003F3BD3"/>
    <w:rsid w:val="003F3F08"/>
    <w:rsid w:val="003F49F1"/>
    <w:rsid w:val="003F4B2C"/>
    <w:rsid w:val="003F5F52"/>
    <w:rsid w:val="003F6272"/>
    <w:rsid w:val="0040056F"/>
    <w:rsid w:val="0040060B"/>
    <w:rsid w:val="004008F3"/>
    <w:rsid w:val="00400C72"/>
    <w:rsid w:val="00400E72"/>
    <w:rsid w:val="00401400"/>
    <w:rsid w:val="00401489"/>
    <w:rsid w:val="004023A7"/>
    <w:rsid w:val="004027ED"/>
    <w:rsid w:val="00404869"/>
    <w:rsid w:val="00405884"/>
    <w:rsid w:val="00405EB2"/>
    <w:rsid w:val="00407D39"/>
    <w:rsid w:val="00407E8F"/>
    <w:rsid w:val="00412E93"/>
    <w:rsid w:val="0041310D"/>
    <w:rsid w:val="00413119"/>
    <w:rsid w:val="004137A0"/>
    <w:rsid w:val="0041477A"/>
    <w:rsid w:val="0041498D"/>
    <w:rsid w:val="004167A3"/>
    <w:rsid w:val="004168A6"/>
    <w:rsid w:val="004210CA"/>
    <w:rsid w:val="0042189D"/>
    <w:rsid w:val="0042234F"/>
    <w:rsid w:val="004243EE"/>
    <w:rsid w:val="0042482D"/>
    <w:rsid w:val="00424855"/>
    <w:rsid w:val="004250A8"/>
    <w:rsid w:val="004258AB"/>
    <w:rsid w:val="00430E92"/>
    <w:rsid w:val="00431B8C"/>
    <w:rsid w:val="00432C1B"/>
    <w:rsid w:val="00432DAA"/>
    <w:rsid w:val="004332C1"/>
    <w:rsid w:val="00434305"/>
    <w:rsid w:val="00434964"/>
    <w:rsid w:val="00435DF7"/>
    <w:rsid w:val="00436E23"/>
    <w:rsid w:val="0044083F"/>
    <w:rsid w:val="0044109C"/>
    <w:rsid w:val="00441214"/>
    <w:rsid w:val="004412D1"/>
    <w:rsid w:val="00441AB4"/>
    <w:rsid w:val="00441AE7"/>
    <w:rsid w:val="00441DF5"/>
    <w:rsid w:val="00442FCF"/>
    <w:rsid w:val="004453C2"/>
    <w:rsid w:val="00445574"/>
    <w:rsid w:val="0044661A"/>
    <w:rsid w:val="004467FB"/>
    <w:rsid w:val="00447474"/>
    <w:rsid w:val="004500FE"/>
    <w:rsid w:val="00452C65"/>
    <w:rsid w:val="00452D6B"/>
    <w:rsid w:val="00452E9C"/>
    <w:rsid w:val="00453D54"/>
    <w:rsid w:val="00454484"/>
    <w:rsid w:val="00454B23"/>
    <w:rsid w:val="0045517B"/>
    <w:rsid w:val="0045636F"/>
    <w:rsid w:val="00460890"/>
    <w:rsid w:val="00462043"/>
    <w:rsid w:val="00462174"/>
    <w:rsid w:val="00463B77"/>
    <w:rsid w:val="00463C7B"/>
    <w:rsid w:val="004644A6"/>
    <w:rsid w:val="00465182"/>
    <w:rsid w:val="004659BD"/>
    <w:rsid w:val="00470775"/>
    <w:rsid w:val="0047166E"/>
    <w:rsid w:val="0047194B"/>
    <w:rsid w:val="00471B0F"/>
    <w:rsid w:val="00471FDF"/>
    <w:rsid w:val="004746B1"/>
    <w:rsid w:val="0047583F"/>
    <w:rsid w:val="00475B96"/>
    <w:rsid w:val="00475DE8"/>
    <w:rsid w:val="00476235"/>
    <w:rsid w:val="004772EA"/>
    <w:rsid w:val="004808BE"/>
    <w:rsid w:val="004813A4"/>
    <w:rsid w:val="00481989"/>
    <w:rsid w:val="00481C44"/>
    <w:rsid w:val="00481C6A"/>
    <w:rsid w:val="004845CA"/>
    <w:rsid w:val="00484936"/>
    <w:rsid w:val="00485265"/>
    <w:rsid w:val="00485922"/>
    <w:rsid w:val="00485C89"/>
    <w:rsid w:val="00485D77"/>
    <w:rsid w:val="004865BB"/>
    <w:rsid w:val="00486BE3"/>
    <w:rsid w:val="00486CAE"/>
    <w:rsid w:val="00487145"/>
    <w:rsid w:val="00487390"/>
    <w:rsid w:val="00487635"/>
    <w:rsid w:val="004900A9"/>
    <w:rsid w:val="004905E4"/>
    <w:rsid w:val="00490A89"/>
    <w:rsid w:val="00490AB4"/>
    <w:rsid w:val="00491806"/>
    <w:rsid w:val="00491B60"/>
    <w:rsid w:val="00492F02"/>
    <w:rsid w:val="00493883"/>
    <w:rsid w:val="004939AE"/>
    <w:rsid w:val="0049523B"/>
    <w:rsid w:val="00495A2C"/>
    <w:rsid w:val="00495BBF"/>
    <w:rsid w:val="004971CA"/>
    <w:rsid w:val="0049757C"/>
    <w:rsid w:val="00497A27"/>
    <w:rsid w:val="004A12DF"/>
    <w:rsid w:val="004A17E6"/>
    <w:rsid w:val="004A1BA8"/>
    <w:rsid w:val="004A2A41"/>
    <w:rsid w:val="004A477C"/>
    <w:rsid w:val="004A4B57"/>
    <w:rsid w:val="004A63FA"/>
    <w:rsid w:val="004A642E"/>
    <w:rsid w:val="004A6638"/>
    <w:rsid w:val="004A7C0C"/>
    <w:rsid w:val="004B0272"/>
    <w:rsid w:val="004B2138"/>
    <w:rsid w:val="004B2701"/>
    <w:rsid w:val="004B2E1B"/>
    <w:rsid w:val="004B335C"/>
    <w:rsid w:val="004B3AA8"/>
    <w:rsid w:val="004B3E93"/>
    <w:rsid w:val="004B50C9"/>
    <w:rsid w:val="004B6465"/>
    <w:rsid w:val="004B7179"/>
    <w:rsid w:val="004C0028"/>
    <w:rsid w:val="004C0073"/>
    <w:rsid w:val="004C079A"/>
    <w:rsid w:val="004C113A"/>
    <w:rsid w:val="004C1966"/>
    <w:rsid w:val="004C1FBC"/>
    <w:rsid w:val="004C2EF6"/>
    <w:rsid w:val="004C3278"/>
    <w:rsid w:val="004C37BA"/>
    <w:rsid w:val="004C3F1D"/>
    <w:rsid w:val="004C418F"/>
    <w:rsid w:val="004C458D"/>
    <w:rsid w:val="004C47A9"/>
    <w:rsid w:val="004C570A"/>
    <w:rsid w:val="004C6B1E"/>
    <w:rsid w:val="004C7556"/>
    <w:rsid w:val="004C7E8B"/>
    <w:rsid w:val="004C7E9D"/>
    <w:rsid w:val="004C7F67"/>
    <w:rsid w:val="004D076D"/>
    <w:rsid w:val="004D0EF1"/>
    <w:rsid w:val="004D2253"/>
    <w:rsid w:val="004D4406"/>
    <w:rsid w:val="004D4607"/>
    <w:rsid w:val="004D53A6"/>
    <w:rsid w:val="004D5421"/>
    <w:rsid w:val="004D6136"/>
    <w:rsid w:val="004D68B3"/>
    <w:rsid w:val="004D6F93"/>
    <w:rsid w:val="004D7C42"/>
    <w:rsid w:val="004E0465"/>
    <w:rsid w:val="004E0866"/>
    <w:rsid w:val="004E127B"/>
    <w:rsid w:val="004E1C0A"/>
    <w:rsid w:val="004E2B06"/>
    <w:rsid w:val="004E2D87"/>
    <w:rsid w:val="004E30C5"/>
    <w:rsid w:val="004E33D8"/>
    <w:rsid w:val="004E433D"/>
    <w:rsid w:val="004E4AA5"/>
    <w:rsid w:val="004E4AEE"/>
    <w:rsid w:val="004E50A0"/>
    <w:rsid w:val="004E59E3"/>
    <w:rsid w:val="004E5A33"/>
    <w:rsid w:val="004E67C0"/>
    <w:rsid w:val="004F2C68"/>
    <w:rsid w:val="004F391A"/>
    <w:rsid w:val="004F3CFB"/>
    <w:rsid w:val="004F44D9"/>
    <w:rsid w:val="004F49CC"/>
    <w:rsid w:val="004F6456"/>
    <w:rsid w:val="004F696E"/>
    <w:rsid w:val="004F6C71"/>
    <w:rsid w:val="004F6C9A"/>
    <w:rsid w:val="004F7E19"/>
    <w:rsid w:val="00501139"/>
    <w:rsid w:val="005018F3"/>
    <w:rsid w:val="0050193C"/>
    <w:rsid w:val="0050267C"/>
    <w:rsid w:val="005029EF"/>
    <w:rsid w:val="0050363E"/>
    <w:rsid w:val="005039BC"/>
    <w:rsid w:val="00503AA0"/>
    <w:rsid w:val="00504194"/>
    <w:rsid w:val="005043BB"/>
    <w:rsid w:val="005044ED"/>
    <w:rsid w:val="00504A3D"/>
    <w:rsid w:val="00505767"/>
    <w:rsid w:val="00505BD4"/>
    <w:rsid w:val="0050689F"/>
    <w:rsid w:val="00506A44"/>
    <w:rsid w:val="005073F0"/>
    <w:rsid w:val="005074BD"/>
    <w:rsid w:val="00507EEA"/>
    <w:rsid w:val="00507F54"/>
    <w:rsid w:val="00510A7B"/>
    <w:rsid w:val="00511635"/>
    <w:rsid w:val="0051292D"/>
    <w:rsid w:val="005129FE"/>
    <w:rsid w:val="00512F6E"/>
    <w:rsid w:val="00513038"/>
    <w:rsid w:val="00514174"/>
    <w:rsid w:val="00514944"/>
    <w:rsid w:val="0051596B"/>
    <w:rsid w:val="00516088"/>
    <w:rsid w:val="00516B0B"/>
    <w:rsid w:val="00517EEE"/>
    <w:rsid w:val="00521329"/>
    <w:rsid w:val="0052143C"/>
    <w:rsid w:val="00521563"/>
    <w:rsid w:val="005215EE"/>
    <w:rsid w:val="0052180A"/>
    <w:rsid w:val="00521CB1"/>
    <w:rsid w:val="005220EC"/>
    <w:rsid w:val="00523445"/>
    <w:rsid w:val="005237E5"/>
    <w:rsid w:val="00523A78"/>
    <w:rsid w:val="00523F95"/>
    <w:rsid w:val="00524816"/>
    <w:rsid w:val="00524D65"/>
    <w:rsid w:val="00525B16"/>
    <w:rsid w:val="00525E97"/>
    <w:rsid w:val="00526FE3"/>
    <w:rsid w:val="00530522"/>
    <w:rsid w:val="00531DAB"/>
    <w:rsid w:val="005322B6"/>
    <w:rsid w:val="00533D04"/>
    <w:rsid w:val="00534804"/>
    <w:rsid w:val="00534BDF"/>
    <w:rsid w:val="005354EA"/>
    <w:rsid w:val="0053585F"/>
    <w:rsid w:val="00535EC4"/>
    <w:rsid w:val="00535ED9"/>
    <w:rsid w:val="005364E6"/>
    <w:rsid w:val="0053692B"/>
    <w:rsid w:val="005378BD"/>
    <w:rsid w:val="00537961"/>
    <w:rsid w:val="00541853"/>
    <w:rsid w:val="00541A6A"/>
    <w:rsid w:val="00541E60"/>
    <w:rsid w:val="005421EC"/>
    <w:rsid w:val="00543240"/>
    <w:rsid w:val="00543BDA"/>
    <w:rsid w:val="005441CC"/>
    <w:rsid w:val="00545A76"/>
    <w:rsid w:val="00545BF2"/>
    <w:rsid w:val="00546F42"/>
    <w:rsid w:val="00547103"/>
    <w:rsid w:val="005477AA"/>
    <w:rsid w:val="005479DA"/>
    <w:rsid w:val="00547BCC"/>
    <w:rsid w:val="0055013B"/>
    <w:rsid w:val="00550283"/>
    <w:rsid w:val="0055130E"/>
    <w:rsid w:val="00551F6F"/>
    <w:rsid w:val="00552ABB"/>
    <w:rsid w:val="005543F0"/>
    <w:rsid w:val="00555044"/>
    <w:rsid w:val="00556B23"/>
    <w:rsid w:val="00557743"/>
    <w:rsid w:val="0056006E"/>
    <w:rsid w:val="0056031B"/>
    <w:rsid w:val="00561475"/>
    <w:rsid w:val="0056158F"/>
    <w:rsid w:val="00561EF0"/>
    <w:rsid w:val="005622DB"/>
    <w:rsid w:val="00563494"/>
    <w:rsid w:val="0056487B"/>
    <w:rsid w:val="00564FB9"/>
    <w:rsid w:val="0056566B"/>
    <w:rsid w:val="005667AA"/>
    <w:rsid w:val="00570FC8"/>
    <w:rsid w:val="005721F4"/>
    <w:rsid w:val="00573A09"/>
    <w:rsid w:val="00573B1C"/>
    <w:rsid w:val="00573D9E"/>
    <w:rsid w:val="00576B17"/>
    <w:rsid w:val="005801E3"/>
    <w:rsid w:val="00581802"/>
    <w:rsid w:val="00582273"/>
    <w:rsid w:val="00582A8D"/>
    <w:rsid w:val="005836A8"/>
    <w:rsid w:val="00584001"/>
    <w:rsid w:val="0058409C"/>
    <w:rsid w:val="00584262"/>
    <w:rsid w:val="00585157"/>
    <w:rsid w:val="005865D2"/>
    <w:rsid w:val="00586630"/>
    <w:rsid w:val="00586EB3"/>
    <w:rsid w:val="00587ADD"/>
    <w:rsid w:val="0059001B"/>
    <w:rsid w:val="005902DA"/>
    <w:rsid w:val="00592942"/>
    <w:rsid w:val="0059466E"/>
    <w:rsid w:val="00596160"/>
    <w:rsid w:val="005966E2"/>
    <w:rsid w:val="00597007"/>
    <w:rsid w:val="005A0966"/>
    <w:rsid w:val="005A0E8E"/>
    <w:rsid w:val="005A11B7"/>
    <w:rsid w:val="005A260B"/>
    <w:rsid w:val="005A272C"/>
    <w:rsid w:val="005A2EFC"/>
    <w:rsid w:val="005A38BC"/>
    <w:rsid w:val="005A4717"/>
    <w:rsid w:val="005A48C2"/>
    <w:rsid w:val="005A4A1B"/>
    <w:rsid w:val="005A5A90"/>
    <w:rsid w:val="005A6D6C"/>
    <w:rsid w:val="005A7418"/>
    <w:rsid w:val="005A7446"/>
    <w:rsid w:val="005A7558"/>
    <w:rsid w:val="005A7830"/>
    <w:rsid w:val="005A7C08"/>
    <w:rsid w:val="005A7FCE"/>
    <w:rsid w:val="005B0365"/>
    <w:rsid w:val="005B0F3F"/>
    <w:rsid w:val="005B1BD3"/>
    <w:rsid w:val="005B2248"/>
    <w:rsid w:val="005B25F3"/>
    <w:rsid w:val="005B4547"/>
    <w:rsid w:val="005B4903"/>
    <w:rsid w:val="005B51CE"/>
    <w:rsid w:val="005B55D3"/>
    <w:rsid w:val="005B5885"/>
    <w:rsid w:val="005B5CD7"/>
    <w:rsid w:val="005B6678"/>
    <w:rsid w:val="005B6853"/>
    <w:rsid w:val="005B6CF6"/>
    <w:rsid w:val="005B7409"/>
    <w:rsid w:val="005B7422"/>
    <w:rsid w:val="005C16BD"/>
    <w:rsid w:val="005C29B8"/>
    <w:rsid w:val="005C3AC2"/>
    <w:rsid w:val="005C51C4"/>
    <w:rsid w:val="005C5F21"/>
    <w:rsid w:val="005C6F32"/>
    <w:rsid w:val="005C7156"/>
    <w:rsid w:val="005D0A72"/>
    <w:rsid w:val="005D0BB7"/>
    <w:rsid w:val="005D0C75"/>
    <w:rsid w:val="005D4171"/>
    <w:rsid w:val="005D57DB"/>
    <w:rsid w:val="005D60CE"/>
    <w:rsid w:val="005D6A95"/>
    <w:rsid w:val="005D6B2C"/>
    <w:rsid w:val="005D6D9C"/>
    <w:rsid w:val="005D7086"/>
    <w:rsid w:val="005D7695"/>
    <w:rsid w:val="005D7CFF"/>
    <w:rsid w:val="005E10E8"/>
    <w:rsid w:val="005E182D"/>
    <w:rsid w:val="005E1B62"/>
    <w:rsid w:val="005E2335"/>
    <w:rsid w:val="005E34CA"/>
    <w:rsid w:val="005E3C18"/>
    <w:rsid w:val="005E4F3A"/>
    <w:rsid w:val="005E54EC"/>
    <w:rsid w:val="005E6812"/>
    <w:rsid w:val="005E7881"/>
    <w:rsid w:val="005E7882"/>
    <w:rsid w:val="005E78E0"/>
    <w:rsid w:val="005F00F8"/>
    <w:rsid w:val="005F0C82"/>
    <w:rsid w:val="005F0D9C"/>
    <w:rsid w:val="005F2365"/>
    <w:rsid w:val="005F284E"/>
    <w:rsid w:val="005F4712"/>
    <w:rsid w:val="005F5791"/>
    <w:rsid w:val="005F5929"/>
    <w:rsid w:val="005F631B"/>
    <w:rsid w:val="00600B0E"/>
    <w:rsid w:val="00600B1B"/>
    <w:rsid w:val="00601579"/>
    <w:rsid w:val="006015CE"/>
    <w:rsid w:val="00602222"/>
    <w:rsid w:val="006037EB"/>
    <w:rsid w:val="00604784"/>
    <w:rsid w:val="00604F6C"/>
    <w:rsid w:val="00606419"/>
    <w:rsid w:val="00607D29"/>
    <w:rsid w:val="00610996"/>
    <w:rsid w:val="00610C32"/>
    <w:rsid w:val="00611B08"/>
    <w:rsid w:val="00612952"/>
    <w:rsid w:val="00613A27"/>
    <w:rsid w:val="00614CC1"/>
    <w:rsid w:val="00614CEC"/>
    <w:rsid w:val="00615215"/>
    <w:rsid w:val="00615480"/>
    <w:rsid w:val="00615A9D"/>
    <w:rsid w:val="00616F21"/>
    <w:rsid w:val="00617387"/>
    <w:rsid w:val="00617917"/>
    <w:rsid w:val="006205D6"/>
    <w:rsid w:val="006205E1"/>
    <w:rsid w:val="00620AA4"/>
    <w:rsid w:val="00621494"/>
    <w:rsid w:val="006233F7"/>
    <w:rsid w:val="0062385C"/>
    <w:rsid w:val="0062521A"/>
    <w:rsid w:val="006252D8"/>
    <w:rsid w:val="006259BC"/>
    <w:rsid w:val="006260E8"/>
    <w:rsid w:val="0062636B"/>
    <w:rsid w:val="00626F0F"/>
    <w:rsid w:val="00626FB9"/>
    <w:rsid w:val="00630A18"/>
    <w:rsid w:val="00632182"/>
    <w:rsid w:val="00632AE0"/>
    <w:rsid w:val="00633001"/>
    <w:rsid w:val="00633C17"/>
    <w:rsid w:val="00634485"/>
    <w:rsid w:val="00634D9E"/>
    <w:rsid w:val="00636E3E"/>
    <w:rsid w:val="00637439"/>
    <w:rsid w:val="006379F7"/>
    <w:rsid w:val="00637E4D"/>
    <w:rsid w:val="00640620"/>
    <w:rsid w:val="006406AD"/>
    <w:rsid w:val="0064144E"/>
    <w:rsid w:val="0064154C"/>
    <w:rsid w:val="00641A1F"/>
    <w:rsid w:val="00642511"/>
    <w:rsid w:val="00643F5A"/>
    <w:rsid w:val="006440B6"/>
    <w:rsid w:val="0064565E"/>
    <w:rsid w:val="00645904"/>
    <w:rsid w:val="006460AF"/>
    <w:rsid w:val="0064645B"/>
    <w:rsid w:val="0064649C"/>
    <w:rsid w:val="00647042"/>
    <w:rsid w:val="006508E7"/>
    <w:rsid w:val="00650E44"/>
    <w:rsid w:val="00651ACB"/>
    <w:rsid w:val="00651C47"/>
    <w:rsid w:val="00651FBE"/>
    <w:rsid w:val="00652AB2"/>
    <w:rsid w:val="00653FED"/>
    <w:rsid w:val="00654EC0"/>
    <w:rsid w:val="0065525B"/>
    <w:rsid w:val="00655D4F"/>
    <w:rsid w:val="006563A2"/>
    <w:rsid w:val="00656497"/>
    <w:rsid w:val="00656D29"/>
    <w:rsid w:val="00656F67"/>
    <w:rsid w:val="00660344"/>
    <w:rsid w:val="00660D5F"/>
    <w:rsid w:val="006611AB"/>
    <w:rsid w:val="00663D05"/>
    <w:rsid w:val="006640E5"/>
    <w:rsid w:val="006646F1"/>
    <w:rsid w:val="006646F7"/>
    <w:rsid w:val="00664929"/>
    <w:rsid w:val="00664EF9"/>
    <w:rsid w:val="00664F62"/>
    <w:rsid w:val="006655E1"/>
    <w:rsid w:val="006657D4"/>
    <w:rsid w:val="006679A6"/>
    <w:rsid w:val="00670115"/>
    <w:rsid w:val="0067043A"/>
    <w:rsid w:val="0067152B"/>
    <w:rsid w:val="00672060"/>
    <w:rsid w:val="00672368"/>
    <w:rsid w:val="0067249D"/>
    <w:rsid w:val="00672BFD"/>
    <w:rsid w:val="00673127"/>
    <w:rsid w:val="006735BF"/>
    <w:rsid w:val="00674031"/>
    <w:rsid w:val="00674AD2"/>
    <w:rsid w:val="006757E4"/>
    <w:rsid w:val="006770F4"/>
    <w:rsid w:val="006773AF"/>
    <w:rsid w:val="00677A84"/>
    <w:rsid w:val="0068026D"/>
    <w:rsid w:val="006803B4"/>
    <w:rsid w:val="00680A27"/>
    <w:rsid w:val="006816A4"/>
    <w:rsid w:val="006819B8"/>
    <w:rsid w:val="00682117"/>
    <w:rsid w:val="006825AA"/>
    <w:rsid w:val="00682DAA"/>
    <w:rsid w:val="0068370E"/>
    <w:rsid w:val="006840A6"/>
    <w:rsid w:val="00684870"/>
    <w:rsid w:val="006850CD"/>
    <w:rsid w:val="0068559E"/>
    <w:rsid w:val="00685AAB"/>
    <w:rsid w:val="00685DF6"/>
    <w:rsid w:val="00685EB9"/>
    <w:rsid w:val="0068614A"/>
    <w:rsid w:val="00687714"/>
    <w:rsid w:val="006902F2"/>
    <w:rsid w:val="006941CF"/>
    <w:rsid w:val="0069533E"/>
    <w:rsid w:val="0069578C"/>
    <w:rsid w:val="00695D58"/>
    <w:rsid w:val="00695DD5"/>
    <w:rsid w:val="006A07AA"/>
    <w:rsid w:val="006A13B2"/>
    <w:rsid w:val="006A13FB"/>
    <w:rsid w:val="006A17FE"/>
    <w:rsid w:val="006A2421"/>
    <w:rsid w:val="006A25E5"/>
    <w:rsid w:val="006A2B46"/>
    <w:rsid w:val="006A2D2C"/>
    <w:rsid w:val="006A336D"/>
    <w:rsid w:val="006A3420"/>
    <w:rsid w:val="006A37B9"/>
    <w:rsid w:val="006A4907"/>
    <w:rsid w:val="006A5356"/>
    <w:rsid w:val="006A5C74"/>
    <w:rsid w:val="006A68B3"/>
    <w:rsid w:val="006B09BE"/>
    <w:rsid w:val="006B14FA"/>
    <w:rsid w:val="006B206A"/>
    <w:rsid w:val="006B2672"/>
    <w:rsid w:val="006B3E35"/>
    <w:rsid w:val="006B54BF"/>
    <w:rsid w:val="006B5B3A"/>
    <w:rsid w:val="006B5E79"/>
    <w:rsid w:val="006B5F44"/>
    <w:rsid w:val="006B5F90"/>
    <w:rsid w:val="006B62E4"/>
    <w:rsid w:val="006B77A7"/>
    <w:rsid w:val="006B79F1"/>
    <w:rsid w:val="006B7F94"/>
    <w:rsid w:val="006C089F"/>
    <w:rsid w:val="006C0C95"/>
    <w:rsid w:val="006C1525"/>
    <w:rsid w:val="006C16EC"/>
    <w:rsid w:val="006C17B6"/>
    <w:rsid w:val="006C17EE"/>
    <w:rsid w:val="006C1BBA"/>
    <w:rsid w:val="006C2079"/>
    <w:rsid w:val="006C2D6C"/>
    <w:rsid w:val="006C3838"/>
    <w:rsid w:val="006C53CA"/>
    <w:rsid w:val="006C5A62"/>
    <w:rsid w:val="006C5BDA"/>
    <w:rsid w:val="006C5D68"/>
    <w:rsid w:val="006C6214"/>
    <w:rsid w:val="006C6976"/>
    <w:rsid w:val="006C6B20"/>
    <w:rsid w:val="006C6DD0"/>
    <w:rsid w:val="006D01F1"/>
    <w:rsid w:val="006D020E"/>
    <w:rsid w:val="006D04EA"/>
    <w:rsid w:val="006D0F72"/>
    <w:rsid w:val="006D16C4"/>
    <w:rsid w:val="006D236B"/>
    <w:rsid w:val="006D3E96"/>
    <w:rsid w:val="006D424C"/>
    <w:rsid w:val="006D4515"/>
    <w:rsid w:val="006D4AF2"/>
    <w:rsid w:val="006D4BB1"/>
    <w:rsid w:val="006D5C42"/>
    <w:rsid w:val="006D6509"/>
    <w:rsid w:val="006D6593"/>
    <w:rsid w:val="006E04EC"/>
    <w:rsid w:val="006E0525"/>
    <w:rsid w:val="006E14C5"/>
    <w:rsid w:val="006E21CA"/>
    <w:rsid w:val="006E23EA"/>
    <w:rsid w:val="006E2E28"/>
    <w:rsid w:val="006E3283"/>
    <w:rsid w:val="006E3E60"/>
    <w:rsid w:val="006E45A9"/>
    <w:rsid w:val="006E4ADD"/>
    <w:rsid w:val="006E586B"/>
    <w:rsid w:val="006E6168"/>
    <w:rsid w:val="006E7ECB"/>
    <w:rsid w:val="006F03A8"/>
    <w:rsid w:val="006F0AD1"/>
    <w:rsid w:val="006F2775"/>
    <w:rsid w:val="006F2ACA"/>
    <w:rsid w:val="006F2ADC"/>
    <w:rsid w:val="006F2BFE"/>
    <w:rsid w:val="006F31E9"/>
    <w:rsid w:val="006F4852"/>
    <w:rsid w:val="006F4D9B"/>
    <w:rsid w:val="006F580C"/>
    <w:rsid w:val="006F5A75"/>
    <w:rsid w:val="006F6284"/>
    <w:rsid w:val="007002C5"/>
    <w:rsid w:val="00700CC2"/>
    <w:rsid w:val="00703112"/>
    <w:rsid w:val="00704387"/>
    <w:rsid w:val="00706C74"/>
    <w:rsid w:val="00706E06"/>
    <w:rsid w:val="00706ECF"/>
    <w:rsid w:val="00707669"/>
    <w:rsid w:val="007113EC"/>
    <w:rsid w:val="00711CBA"/>
    <w:rsid w:val="00711FB5"/>
    <w:rsid w:val="00712A01"/>
    <w:rsid w:val="00713454"/>
    <w:rsid w:val="00714F58"/>
    <w:rsid w:val="00716BD7"/>
    <w:rsid w:val="00720881"/>
    <w:rsid w:val="00722FBF"/>
    <w:rsid w:val="00722FC2"/>
    <w:rsid w:val="0072361D"/>
    <w:rsid w:val="0072373A"/>
    <w:rsid w:val="007238F2"/>
    <w:rsid w:val="00724879"/>
    <w:rsid w:val="00724E1B"/>
    <w:rsid w:val="00725309"/>
    <w:rsid w:val="00725949"/>
    <w:rsid w:val="00725EF6"/>
    <w:rsid w:val="007263A2"/>
    <w:rsid w:val="00726A1C"/>
    <w:rsid w:val="00726EDA"/>
    <w:rsid w:val="00727FA2"/>
    <w:rsid w:val="00730045"/>
    <w:rsid w:val="00730EE1"/>
    <w:rsid w:val="007322D9"/>
    <w:rsid w:val="00732BC0"/>
    <w:rsid w:val="00732E2E"/>
    <w:rsid w:val="0073346B"/>
    <w:rsid w:val="00734AA7"/>
    <w:rsid w:val="0073502F"/>
    <w:rsid w:val="0073720F"/>
    <w:rsid w:val="00737796"/>
    <w:rsid w:val="00737A07"/>
    <w:rsid w:val="00740E23"/>
    <w:rsid w:val="00741469"/>
    <w:rsid w:val="0074165C"/>
    <w:rsid w:val="00741B82"/>
    <w:rsid w:val="00742C35"/>
    <w:rsid w:val="00743065"/>
    <w:rsid w:val="007432CA"/>
    <w:rsid w:val="00743451"/>
    <w:rsid w:val="007439EB"/>
    <w:rsid w:val="00743B11"/>
    <w:rsid w:val="00743CB4"/>
    <w:rsid w:val="00743F0A"/>
    <w:rsid w:val="00743F4F"/>
    <w:rsid w:val="007444E8"/>
    <w:rsid w:val="00744693"/>
    <w:rsid w:val="00744C0D"/>
    <w:rsid w:val="00744DFC"/>
    <w:rsid w:val="0074548E"/>
    <w:rsid w:val="007454F7"/>
    <w:rsid w:val="00745504"/>
    <w:rsid w:val="00745773"/>
    <w:rsid w:val="00746800"/>
    <w:rsid w:val="007501A8"/>
    <w:rsid w:val="00750D0B"/>
    <w:rsid w:val="00750D61"/>
    <w:rsid w:val="00750EE1"/>
    <w:rsid w:val="00752B4D"/>
    <w:rsid w:val="00753BD5"/>
    <w:rsid w:val="007543CC"/>
    <w:rsid w:val="00754E69"/>
    <w:rsid w:val="00755402"/>
    <w:rsid w:val="00756B26"/>
    <w:rsid w:val="00756C25"/>
    <w:rsid w:val="00756EDF"/>
    <w:rsid w:val="007600E3"/>
    <w:rsid w:val="00760C6F"/>
    <w:rsid w:val="00760DB4"/>
    <w:rsid w:val="00761E4C"/>
    <w:rsid w:val="0076230A"/>
    <w:rsid w:val="00762F8D"/>
    <w:rsid w:val="00763B74"/>
    <w:rsid w:val="00765C43"/>
    <w:rsid w:val="00765EFB"/>
    <w:rsid w:val="00766ACC"/>
    <w:rsid w:val="007671CA"/>
    <w:rsid w:val="007672EF"/>
    <w:rsid w:val="0076777B"/>
    <w:rsid w:val="00767C61"/>
    <w:rsid w:val="00767E2A"/>
    <w:rsid w:val="0077008A"/>
    <w:rsid w:val="00772503"/>
    <w:rsid w:val="00772755"/>
    <w:rsid w:val="00773C1F"/>
    <w:rsid w:val="00774DA4"/>
    <w:rsid w:val="007751B4"/>
    <w:rsid w:val="00775249"/>
    <w:rsid w:val="00775A91"/>
    <w:rsid w:val="00776599"/>
    <w:rsid w:val="00776860"/>
    <w:rsid w:val="00776A18"/>
    <w:rsid w:val="007774A1"/>
    <w:rsid w:val="00777F98"/>
    <w:rsid w:val="0078079E"/>
    <w:rsid w:val="0078086F"/>
    <w:rsid w:val="0078114B"/>
    <w:rsid w:val="00781941"/>
    <w:rsid w:val="00781D75"/>
    <w:rsid w:val="00781DD2"/>
    <w:rsid w:val="007823C5"/>
    <w:rsid w:val="00782689"/>
    <w:rsid w:val="0078286D"/>
    <w:rsid w:val="00783E8B"/>
    <w:rsid w:val="00783ECF"/>
    <w:rsid w:val="0078413A"/>
    <w:rsid w:val="00787119"/>
    <w:rsid w:val="007902E4"/>
    <w:rsid w:val="00790D48"/>
    <w:rsid w:val="00791C97"/>
    <w:rsid w:val="00792F6E"/>
    <w:rsid w:val="007938B5"/>
    <w:rsid w:val="007959E8"/>
    <w:rsid w:val="00795E9C"/>
    <w:rsid w:val="00796330"/>
    <w:rsid w:val="00796620"/>
    <w:rsid w:val="00797200"/>
    <w:rsid w:val="00797606"/>
    <w:rsid w:val="007A0521"/>
    <w:rsid w:val="007A0BB5"/>
    <w:rsid w:val="007A1231"/>
    <w:rsid w:val="007A2E12"/>
    <w:rsid w:val="007A3475"/>
    <w:rsid w:val="007A41C8"/>
    <w:rsid w:val="007A4D15"/>
    <w:rsid w:val="007A54CE"/>
    <w:rsid w:val="007A59D9"/>
    <w:rsid w:val="007A6FD9"/>
    <w:rsid w:val="007A711A"/>
    <w:rsid w:val="007A7FFA"/>
    <w:rsid w:val="007B03E2"/>
    <w:rsid w:val="007B04EB"/>
    <w:rsid w:val="007B05D6"/>
    <w:rsid w:val="007B0D4F"/>
    <w:rsid w:val="007B21DF"/>
    <w:rsid w:val="007B33E6"/>
    <w:rsid w:val="007B43C8"/>
    <w:rsid w:val="007B5A3D"/>
    <w:rsid w:val="007B5AF5"/>
    <w:rsid w:val="007B5B95"/>
    <w:rsid w:val="007B617F"/>
    <w:rsid w:val="007B68EA"/>
    <w:rsid w:val="007B7453"/>
    <w:rsid w:val="007C0AA7"/>
    <w:rsid w:val="007C0D28"/>
    <w:rsid w:val="007C1BBC"/>
    <w:rsid w:val="007C1E8B"/>
    <w:rsid w:val="007C2D89"/>
    <w:rsid w:val="007C3495"/>
    <w:rsid w:val="007C351A"/>
    <w:rsid w:val="007C3E1A"/>
    <w:rsid w:val="007C3F1F"/>
    <w:rsid w:val="007C4388"/>
    <w:rsid w:val="007C4593"/>
    <w:rsid w:val="007C46B2"/>
    <w:rsid w:val="007C4F56"/>
    <w:rsid w:val="007C5309"/>
    <w:rsid w:val="007C5388"/>
    <w:rsid w:val="007C5C43"/>
    <w:rsid w:val="007C6069"/>
    <w:rsid w:val="007D06C4"/>
    <w:rsid w:val="007D1352"/>
    <w:rsid w:val="007D223D"/>
    <w:rsid w:val="007D2508"/>
    <w:rsid w:val="007D3149"/>
    <w:rsid w:val="007D3154"/>
    <w:rsid w:val="007D346A"/>
    <w:rsid w:val="007D3CFB"/>
    <w:rsid w:val="007D401D"/>
    <w:rsid w:val="007D58A9"/>
    <w:rsid w:val="007D6503"/>
    <w:rsid w:val="007D6518"/>
    <w:rsid w:val="007D6CBA"/>
    <w:rsid w:val="007D76BD"/>
    <w:rsid w:val="007E0534"/>
    <w:rsid w:val="007E0BF1"/>
    <w:rsid w:val="007E1425"/>
    <w:rsid w:val="007E28CB"/>
    <w:rsid w:val="007E2F1C"/>
    <w:rsid w:val="007E3183"/>
    <w:rsid w:val="007E4084"/>
    <w:rsid w:val="007E4A44"/>
    <w:rsid w:val="007E5162"/>
    <w:rsid w:val="007E73F1"/>
    <w:rsid w:val="007E7811"/>
    <w:rsid w:val="007E7B21"/>
    <w:rsid w:val="007F0ED8"/>
    <w:rsid w:val="007F0F63"/>
    <w:rsid w:val="007F14C4"/>
    <w:rsid w:val="007F18A4"/>
    <w:rsid w:val="007F466C"/>
    <w:rsid w:val="007F501B"/>
    <w:rsid w:val="007F62D9"/>
    <w:rsid w:val="007F691C"/>
    <w:rsid w:val="007F75CE"/>
    <w:rsid w:val="008013A4"/>
    <w:rsid w:val="00801861"/>
    <w:rsid w:val="00802505"/>
    <w:rsid w:val="00802613"/>
    <w:rsid w:val="008027CE"/>
    <w:rsid w:val="00802956"/>
    <w:rsid w:val="00802D27"/>
    <w:rsid w:val="00802F42"/>
    <w:rsid w:val="00803283"/>
    <w:rsid w:val="0080358B"/>
    <w:rsid w:val="00803913"/>
    <w:rsid w:val="008039E4"/>
    <w:rsid w:val="00804178"/>
    <w:rsid w:val="00804383"/>
    <w:rsid w:val="00804660"/>
    <w:rsid w:val="00804BB7"/>
    <w:rsid w:val="00804D41"/>
    <w:rsid w:val="00804D60"/>
    <w:rsid w:val="00804DE5"/>
    <w:rsid w:val="00804FBF"/>
    <w:rsid w:val="0080576F"/>
    <w:rsid w:val="0080658A"/>
    <w:rsid w:val="00807825"/>
    <w:rsid w:val="00810257"/>
    <w:rsid w:val="00810442"/>
    <w:rsid w:val="008104F5"/>
    <w:rsid w:val="00811072"/>
    <w:rsid w:val="008111EC"/>
    <w:rsid w:val="00811369"/>
    <w:rsid w:val="00811887"/>
    <w:rsid w:val="00811F4F"/>
    <w:rsid w:val="00813923"/>
    <w:rsid w:val="00814EE0"/>
    <w:rsid w:val="00815419"/>
    <w:rsid w:val="00816224"/>
    <w:rsid w:val="008163C8"/>
    <w:rsid w:val="00816496"/>
    <w:rsid w:val="008164A1"/>
    <w:rsid w:val="00817021"/>
    <w:rsid w:val="00817325"/>
    <w:rsid w:val="0081773B"/>
    <w:rsid w:val="00817898"/>
    <w:rsid w:val="008209E6"/>
    <w:rsid w:val="00820B2D"/>
    <w:rsid w:val="00820BB0"/>
    <w:rsid w:val="00821FF8"/>
    <w:rsid w:val="00823303"/>
    <w:rsid w:val="008233B2"/>
    <w:rsid w:val="008239D7"/>
    <w:rsid w:val="00823A9F"/>
    <w:rsid w:val="00823C85"/>
    <w:rsid w:val="008240B9"/>
    <w:rsid w:val="00824EFA"/>
    <w:rsid w:val="00825138"/>
    <w:rsid w:val="00825663"/>
    <w:rsid w:val="008256B2"/>
    <w:rsid w:val="00825B21"/>
    <w:rsid w:val="0082601C"/>
    <w:rsid w:val="00826374"/>
    <w:rsid w:val="008269DD"/>
    <w:rsid w:val="00826E9D"/>
    <w:rsid w:val="00830621"/>
    <w:rsid w:val="0083222F"/>
    <w:rsid w:val="008329A1"/>
    <w:rsid w:val="0083348C"/>
    <w:rsid w:val="00833B92"/>
    <w:rsid w:val="00835E66"/>
    <w:rsid w:val="008373D3"/>
    <w:rsid w:val="0084037E"/>
    <w:rsid w:val="00840432"/>
    <w:rsid w:val="00840517"/>
    <w:rsid w:val="00840617"/>
    <w:rsid w:val="00840F84"/>
    <w:rsid w:val="0084246F"/>
    <w:rsid w:val="00842A47"/>
    <w:rsid w:val="00843C13"/>
    <w:rsid w:val="008442FF"/>
    <w:rsid w:val="008453F4"/>
    <w:rsid w:val="008454F8"/>
    <w:rsid w:val="00845B99"/>
    <w:rsid w:val="0084754B"/>
    <w:rsid w:val="00847861"/>
    <w:rsid w:val="008508B8"/>
    <w:rsid w:val="00850DC7"/>
    <w:rsid w:val="0085173A"/>
    <w:rsid w:val="00852905"/>
    <w:rsid w:val="00854C8B"/>
    <w:rsid w:val="008562B1"/>
    <w:rsid w:val="00856316"/>
    <w:rsid w:val="008566E4"/>
    <w:rsid w:val="008570AD"/>
    <w:rsid w:val="008603CE"/>
    <w:rsid w:val="00860FA5"/>
    <w:rsid w:val="0086112E"/>
    <w:rsid w:val="008614E8"/>
    <w:rsid w:val="008620FC"/>
    <w:rsid w:val="00862270"/>
    <w:rsid w:val="008627A5"/>
    <w:rsid w:val="00862E7C"/>
    <w:rsid w:val="00863E05"/>
    <w:rsid w:val="00865305"/>
    <w:rsid w:val="00865ACA"/>
    <w:rsid w:val="00865D28"/>
    <w:rsid w:val="00865F85"/>
    <w:rsid w:val="00867C10"/>
    <w:rsid w:val="00870439"/>
    <w:rsid w:val="0087056A"/>
    <w:rsid w:val="00870DA1"/>
    <w:rsid w:val="0087114A"/>
    <w:rsid w:val="0087119B"/>
    <w:rsid w:val="008728B6"/>
    <w:rsid w:val="00872CEB"/>
    <w:rsid w:val="00872FD6"/>
    <w:rsid w:val="00873039"/>
    <w:rsid w:val="00873CAF"/>
    <w:rsid w:val="00874042"/>
    <w:rsid w:val="0087451E"/>
    <w:rsid w:val="008749DC"/>
    <w:rsid w:val="00874F3B"/>
    <w:rsid w:val="008759CC"/>
    <w:rsid w:val="00876427"/>
    <w:rsid w:val="00876FD5"/>
    <w:rsid w:val="008801E1"/>
    <w:rsid w:val="008804D1"/>
    <w:rsid w:val="00880ADD"/>
    <w:rsid w:val="00882F44"/>
    <w:rsid w:val="00883E3C"/>
    <w:rsid w:val="00883F93"/>
    <w:rsid w:val="00884281"/>
    <w:rsid w:val="00884DB3"/>
    <w:rsid w:val="0088532B"/>
    <w:rsid w:val="00885A9D"/>
    <w:rsid w:val="00885FD3"/>
    <w:rsid w:val="008864F6"/>
    <w:rsid w:val="008869DF"/>
    <w:rsid w:val="00887833"/>
    <w:rsid w:val="0089049D"/>
    <w:rsid w:val="008928C9"/>
    <w:rsid w:val="0089301D"/>
    <w:rsid w:val="008930CB"/>
    <w:rsid w:val="008938DC"/>
    <w:rsid w:val="00893FD1"/>
    <w:rsid w:val="00894836"/>
    <w:rsid w:val="0089492E"/>
    <w:rsid w:val="00894FFE"/>
    <w:rsid w:val="00895172"/>
    <w:rsid w:val="00895624"/>
    <w:rsid w:val="00895680"/>
    <w:rsid w:val="00896DCA"/>
    <w:rsid w:val="00896DFF"/>
    <w:rsid w:val="00896FCE"/>
    <w:rsid w:val="00897345"/>
    <w:rsid w:val="00897531"/>
    <w:rsid w:val="0089762C"/>
    <w:rsid w:val="00897833"/>
    <w:rsid w:val="00897C60"/>
    <w:rsid w:val="008A107B"/>
    <w:rsid w:val="008A1278"/>
    <w:rsid w:val="008A146D"/>
    <w:rsid w:val="008A1893"/>
    <w:rsid w:val="008A2243"/>
    <w:rsid w:val="008A25B8"/>
    <w:rsid w:val="008A2612"/>
    <w:rsid w:val="008A2CEE"/>
    <w:rsid w:val="008A3215"/>
    <w:rsid w:val="008A3C3E"/>
    <w:rsid w:val="008A3EA4"/>
    <w:rsid w:val="008A3FDF"/>
    <w:rsid w:val="008A4538"/>
    <w:rsid w:val="008A57E6"/>
    <w:rsid w:val="008A62D4"/>
    <w:rsid w:val="008A6BFB"/>
    <w:rsid w:val="008A6F81"/>
    <w:rsid w:val="008A769A"/>
    <w:rsid w:val="008B0055"/>
    <w:rsid w:val="008B036C"/>
    <w:rsid w:val="008B0462"/>
    <w:rsid w:val="008B06D6"/>
    <w:rsid w:val="008B0C9C"/>
    <w:rsid w:val="008B166D"/>
    <w:rsid w:val="008B17F4"/>
    <w:rsid w:val="008B258E"/>
    <w:rsid w:val="008B2706"/>
    <w:rsid w:val="008B28FA"/>
    <w:rsid w:val="008B3615"/>
    <w:rsid w:val="008B43F1"/>
    <w:rsid w:val="008B46FD"/>
    <w:rsid w:val="008B4A31"/>
    <w:rsid w:val="008B4AC4"/>
    <w:rsid w:val="008B50C8"/>
    <w:rsid w:val="008B5281"/>
    <w:rsid w:val="008B569B"/>
    <w:rsid w:val="008B63D3"/>
    <w:rsid w:val="008B7E05"/>
    <w:rsid w:val="008C07A3"/>
    <w:rsid w:val="008C0DEA"/>
    <w:rsid w:val="008C1797"/>
    <w:rsid w:val="008C219C"/>
    <w:rsid w:val="008C3919"/>
    <w:rsid w:val="008C3948"/>
    <w:rsid w:val="008C4734"/>
    <w:rsid w:val="008C475E"/>
    <w:rsid w:val="008C5468"/>
    <w:rsid w:val="008C619A"/>
    <w:rsid w:val="008C6A58"/>
    <w:rsid w:val="008C6CC5"/>
    <w:rsid w:val="008C7E24"/>
    <w:rsid w:val="008D0425"/>
    <w:rsid w:val="008D0CE8"/>
    <w:rsid w:val="008D2C60"/>
    <w:rsid w:val="008D2D1D"/>
    <w:rsid w:val="008D2E39"/>
    <w:rsid w:val="008D2FBA"/>
    <w:rsid w:val="008D453D"/>
    <w:rsid w:val="008D5361"/>
    <w:rsid w:val="008D53AD"/>
    <w:rsid w:val="008D562B"/>
    <w:rsid w:val="008D5733"/>
    <w:rsid w:val="008D5933"/>
    <w:rsid w:val="008D622B"/>
    <w:rsid w:val="008D666C"/>
    <w:rsid w:val="008D6C8E"/>
    <w:rsid w:val="008D7B54"/>
    <w:rsid w:val="008E0C9D"/>
    <w:rsid w:val="008E127D"/>
    <w:rsid w:val="008E12C8"/>
    <w:rsid w:val="008E1648"/>
    <w:rsid w:val="008E1B3E"/>
    <w:rsid w:val="008E2319"/>
    <w:rsid w:val="008E3EAF"/>
    <w:rsid w:val="008E4BB6"/>
    <w:rsid w:val="008E5518"/>
    <w:rsid w:val="008E6A84"/>
    <w:rsid w:val="008E782E"/>
    <w:rsid w:val="008F053D"/>
    <w:rsid w:val="008F0CDC"/>
    <w:rsid w:val="008F17A3"/>
    <w:rsid w:val="008F1ED3"/>
    <w:rsid w:val="008F23A5"/>
    <w:rsid w:val="008F2B8F"/>
    <w:rsid w:val="008F3480"/>
    <w:rsid w:val="008F4C29"/>
    <w:rsid w:val="008F58F2"/>
    <w:rsid w:val="008F66FA"/>
    <w:rsid w:val="008F70BD"/>
    <w:rsid w:val="008F75DE"/>
    <w:rsid w:val="008F7801"/>
    <w:rsid w:val="008F788F"/>
    <w:rsid w:val="008F7910"/>
    <w:rsid w:val="008F7E12"/>
    <w:rsid w:val="008F7EA2"/>
    <w:rsid w:val="00900D57"/>
    <w:rsid w:val="00900EAB"/>
    <w:rsid w:val="0090165E"/>
    <w:rsid w:val="00901930"/>
    <w:rsid w:val="0090245D"/>
    <w:rsid w:val="00902722"/>
    <w:rsid w:val="009027BC"/>
    <w:rsid w:val="00903521"/>
    <w:rsid w:val="00903C5C"/>
    <w:rsid w:val="00903F4A"/>
    <w:rsid w:val="0090423A"/>
    <w:rsid w:val="009047CD"/>
    <w:rsid w:val="00904BDD"/>
    <w:rsid w:val="009062E6"/>
    <w:rsid w:val="009064C0"/>
    <w:rsid w:val="00910D2A"/>
    <w:rsid w:val="00911BE5"/>
    <w:rsid w:val="0091273B"/>
    <w:rsid w:val="009129F6"/>
    <w:rsid w:val="00912A8D"/>
    <w:rsid w:val="009136DF"/>
    <w:rsid w:val="009138C9"/>
    <w:rsid w:val="00913CA9"/>
    <w:rsid w:val="009145AE"/>
    <w:rsid w:val="009146CE"/>
    <w:rsid w:val="00914B92"/>
    <w:rsid w:val="00914CA7"/>
    <w:rsid w:val="00915C3E"/>
    <w:rsid w:val="00915D69"/>
    <w:rsid w:val="009161A8"/>
    <w:rsid w:val="009164CD"/>
    <w:rsid w:val="0091669D"/>
    <w:rsid w:val="00916E35"/>
    <w:rsid w:val="00916EE4"/>
    <w:rsid w:val="0091791C"/>
    <w:rsid w:val="00920C53"/>
    <w:rsid w:val="009219B3"/>
    <w:rsid w:val="009226A7"/>
    <w:rsid w:val="009233CA"/>
    <w:rsid w:val="00923AE9"/>
    <w:rsid w:val="0092446B"/>
    <w:rsid w:val="009245F5"/>
    <w:rsid w:val="009249EC"/>
    <w:rsid w:val="00924CB5"/>
    <w:rsid w:val="00924F73"/>
    <w:rsid w:val="00925D1E"/>
    <w:rsid w:val="009264EC"/>
    <w:rsid w:val="009267B1"/>
    <w:rsid w:val="0092733B"/>
    <w:rsid w:val="009273B3"/>
    <w:rsid w:val="00927935"/>
    <w:rsid w:val="00927DBD"/>
    <w:rsid w:val="009305B5"/>
    <w:rsid w:val="00931C6A"/>
    <w:rsid w:val="00931EF0"/>
    <w:rsid w:val="00932614"/>
    <w:rsid w:val="00933213"/>
    <w:rsid w:val="00934B6B"/>
    <w:rsid w:val="00935C60"/>
    <w:rsid w:val="00937178"/>
    <w:rsid w:val="00940290"/>
    <w:rsid w:val="0094061A"/>
    <w:rsid w:val="0094252A"/>
    <w:rsid w:val="009425B5"/>
    <w:rsid w:val="009429D5"/>
    <w:rsid w:val="00942BF1"/>
    <w:rsid w:val="00942DFF"/>
    <w:rsid w:val="00945180"/>
    <w:rsid w:val="00945428"/>
    <w:rsid w:val="0094607B"/>
    <w:rsid w:val="009465B6"/>
    <w:rsid w:val="00950D5B"/>
    <w:rsid w:val="00953602"/>
    <w:rsid w:val="00953604"/>
    <w:rsid w:val="0095496B"/>
    <w:rsid w:val="009603B7"/>
    <w:rsid w:val="00960642"/>
    <w:rsid w:val="00960DC9"/>
    <w:rsid w:val="009610DC"/>
    <w:rsid w:val="00961490"/>
    <w:rsid w:val="00962DF8"/>
    <w:rsid w:val="0096381A"/>
    <w:rsid w:val="00964C38"/>
    <w:rsid w:val="00964EA8"/>
    <w:rsid w:val="009656EC"/>
    <w:rsid w:val="00965E04"/>
    <w:rsid w:val="00966053"/>
    <w:rsid w:val="009674AD"/>
    <w:rsid w:val="00967C3E"/>
    <w:rsid w:val="00970201"/>
    <w:rsid w:val="00970844"/>
    <w:rsid w:val="00970CDC"/>
    <w:rsid w:val="009710AB"/>
    <w:rsid w:val="009717EC"/>
    <w:rsid w:val="009737CE"/>
    <w:rsid w:val="009752CB"/>
    <w:rsid w:val="00975578"/>
    <w:rsid w:val="00976A63"/>
    <w:rsid w:val="00977010"/>
    <w:rsid w:val="009773E9"/>
    <w:rsid w:val="00977D02"/>
    <w:rsid w:val="009809BB"/>
    <w:rsid w:val="00981A62"/>
    <w:rsid w:val="00981EB1"/>
    <w:rsid w:val="00982CB4"/>
    <w:rsid w:val="00983471"/>
    <w:rsid w:val="0098364B"/>
    <w:rsid w:val="00983D41"/>
    <w:rsid w:val="00984CBE"/>
    <w:rsid w:val="00985752"/>
    <w:rsid w:val="00987999"/>
    <w:rsid w:val="00987E2E"/>
    <w:rsid w:val="009911AF"/>
    <w:rsid w:val="00991533"/>
    <w:rsid w:val="00991875"/>
    <w:rsid w:val="00991F92"/>
    <w:rsid w:val="00992985"/>
    <w:rsid w:val="00993251"/>
    <w:rsid w:val="00993667"/>
    <w:rsid w:val="00993889"/>
    <w:rsid w:val="00994407"/>
    <w:rsid w:val="0099551B"/>
    <w:rsid w:val="00996E70"/>
    <w:rsid w:val="00997875"/>
    <w:rsid w:val="00997BF1"/>
    <w:rsid w:val="009A006A"/>
    <w:rsid w:val="009A007D"/>
    <w:rsid w:val="009A0837"/>
    <w:rsid w:val="009A089C"/>
    <w:rsid w:val="009A08AF"/>
    <w:rsid w:val="009A118E"/>
    <w:rsid w:val="009A1F24"/>
    <w:rsid w:val="009A21CD"/>
    <w:rsid w:val="009A278C"/>
    <w:rsid w:val="009A291F"/>
    <w:rsid w:val="009A2BC2"/>
    <w:rsid w:val="009A2CF8"/>
    <w:rsid w:val="009A3094"/>
    <w:rsid w:val="009A42C1"/>
    <w:rsid w:val="009A5429"/>
    <w:rsid w:val="009A7156"/>
    <w:rsid w:val="009A72AD"/>
    <w:rsid w:val="009B0671"/>
    <w:rsid w:val="009B09E0"/>
    <w:rsid w:val="009B0BC5"/>
    <w:rsid w:val="009B0C48"/>
    <w:rsid w:val="009B1247"/>
    <w:rsid w:val="009B286C"/>
    <w:rsid w:val="009B36A1"/>
    <w:rsid w:val="009B4275"/>
    <w:rsid w:val="009B4998"/>
    <w:rsid w:val="009B4F06"/>
    <w:rsid w:val="009B5FED"/>
    <w:rsid w:val="009B6029"/>
    <w:rsid w:val="009B6679"/>
    <w:rsid w:val="009B678C"/>
    <w:rsid w:val="009B6929"/>
    <w:rsid w:val="009B6971"/>
    <w:rsid w:val="009B722C"/>
    <w:rsid w:val="009B7375"/>
    <w:rsid w:val="009C1066"/>
    <w:rsid w:val="009C13D2"/>
    <w:rsid w:val="009C1A53"/>
    <w:rsid w:val="009C27F1"/>
    <w:rsid w:val="009C2CE6"/>
    <w:rsid w:val="009C3152"/>
    <w:rsid w:val="009C3607"/>
    <w:rsid w:val="009C4596"/>
    <w:rsid w:val="009C4CFA"/>
    <w:rsid w:val="009C5070"/>
    <w:rsid w:val="009C681A"/>
    <w:rsid w:val="009D0624"/>
    <w:rsid w:val="009D0A07"/>
    <w:rsid w:val="009D112C"/>
    <w:rsid w:val="009D47FA"/>
    <w:rsid w:val="009D4C5B"/>
    <w:rsid w:val="009D4C5E"/>
    <w:rsid w:val="009D50D2"/>
    <w:rsid w:val="009D5A7F"/>
    <w:rsid w:val="009D6BCA"/>
    <w:rsid w:val="009D6C57"/>
    <w:rsid w:val="009D779F"/>
    <w:rsid w:val="009E08EA"/>
    <w:rsid w:val="009E0F62"/>
    <w:rsid w:val="009E1F77"/>
    <w:rsid w:val="009E25CE"/>
    <w:rsid w:val="009E282F"/>
    <w:rsid w:val="009E33F4"/>
    <w:rsid w:val="009E4153"/>
    <w:rsid w:val="009E4A58"/>
    <w:rsid w:val="009E5A2D"/>
    <w:rsid w:val="009E5AB2"/>
    <w:rsid w:val="009E5D0C"/>
    <w:rsid w:val="009E6219"/>
    <w:rsid w:val="009E67DC"/>
    <w:rsid w:val="009E69D1"/>
    <w:rsid w:val="009E6DA3"/>
    <w:rsid w:val="009E7C56"/>
    <w:rsid w:val="009E7E92"/>
    <w:rsid w:val="009F03B3"/>
    <w:rsid w:val="009F28BE"/>
    <w:rsid w:val="009F2FBE"/>
    <w:rsid w:val="009F4A7A"/>
    <w:rsid w:val="009F4CA6"/>
    <w:rsid w:val="009F4EB9"/>
    <w:rsid w:val="009F59AF"/>
    <w:rsid w:val="009F6558"/>
    <w:rsid w:val="00A0096C"/>
    <w:rsid w:val="00A00AFF"/>
    <w:rsid w:val="00A01757"/>
    <w:rsid w:val="00A028C0"/>
    <w:rsid w:val="00A02BAE"/>
    <w:rsid w:val="00A0375E"/>
    <w:rsid w:val="00A04C61"/>
    <w:rsid w:val="00A04F52"/>
    <w:rsid w:val="00A06A6B"/>
    <w:rsid w:val="00A06CD8"/>
    <w:rsid w:val="00A07E47"/>
    <w:rsid w:val="00A11579"/>
    <w:rsid w:val="00A129D0"/>
    <w:rsid w:val="00A12B99"/>
    <w:rsid w:val="00A12C33"/>
    <w:rsid w:val="00A138BA"/>
    <w:rsid w:val="00A14C8E"/>
    <w:rsid w:val="00A1508B"/>
    <w:rsid w:val="00A153D9"/>
    <w:rsid w:val="00A15F09"/>
    <w:rsid w:val="00A168A6"/>
    <w:rsid w:val="00A169B6"/>
    <w:rsid w:val="00A16C57"/>
    <w:rsid w:val="00A177D5"/>
    <w:rsid w:val="00A20A96"/>
    <w:rsid w:val="00A2169B"/>
    <w:rsid w:val="00A2271D"/>
    <w:rsid w:val="00A22F5A"/>
    <w:rsid w:val="00A237D5"/>
    <w:rsid w:val="00A23DBF"/>
    <w:rsid w:val="00A244EE"/>
    <w:rsid w:val="00A250A3"/>
    <w:rsid w:val="00A268BB"/>
    <w:rsid w:val="00A268BD"/>
    <w:rsid w:val="00A269D5"/>
    <w:rsid w:val="00A26A5F"/>
    <w:rsid w:val="00A30BDE"/>
    <w:rsid w:val="00A30E63"/>
    <w:rsid w:val="00A30EFC"/>
    <w:rsid w:val="00A31984"/>
    <w:rsid w:val="00A32D73"/>
    <w:rsid w:val="00A3367B"/>
    <w:rsid w:val="00A3407A"/>
    <w:rsid w:val="00A352DF"/>
    <w:rsid w:val="00A3597D"/>
    <w:rsid w:val="00A35D80"/>
    <w:rsid w:val="00A36925"/>
    <w:rsid w:val="00A36DD1"/>
    <w:rsid w:val="00A37276"/>
    <w:rsid w:val="00A4006C"/>
    <w:rsid w:val="00A40091"/>
    <w:rsid w:val="00A4030F"/>
    <w:rsid w:val="00A408D1"/>
    <w:rsid w:val="00A41C79"/>
    <w:rsid w:val="00A41CB5"/>
    <w:rsid w:val="00A42CDF"/>
    <w:rsid w:val="00A442D3"/>
    <w:rsid w:val="00A4452E"/>
    <w:rsid w:val="00A4472C"/>
    <w:rsid w:val="00A4482A"/>
    <w:rsid w:val="00A44E69"/>
    <w:rsid w:val="00A4661E"/>
    <w:rsid w:val="00A47263"/>
    <w:rsid w:val="00A50211"/>
    <w:rsid w:val="00A51720"/>
    <w:rsid w:val="00A51B1E"/>
    <w:rsid w:val="00A52AFB"/>
    <w:rsid w:val="00A531CE"/>
    <w:rsid w:val="00A55BD6"/>
    <w:rsid w:val="00A55D50"/>
    <w:rsid w:val="00A57142"/>
    <w:rsid w:val="00A6105E"/>
    <w:rsid w:val="00A61084"/>
    <w:rsid w:val="00A62689"/>
    <w:rsid w:val="00A633AC"/>
    <w:rsid w:val="00A636C8"/>
    <w:rsid w:val="00A645D4"/>
    <w:rsid w:val="00A64757"/>
    <w:rsid w:val="00A648CD"/>
    <w:rsid w:val="00A64960"/>
    <w:rsid w:val="00A6537A"/>
    <w:rsid w:val="00A653BC"/>
    <w:rsid w:val="00A65468"/>
    <w:rsid w:val="00A67866"/>
    <w:rsid w:val="00A7083A"/>
    <w:rsid w:val="00A70B07"/>
    <w:rsid w:val="00A70DEF"/>
    <w:rsid w:val="00A714A2"/>
    <w:rsid w:val="00A716AD"/>
    <w:rsid w:val="00A71825"/>
    <w:rsid w:val="00A71F5E"/>
    <w:rsid w:val="00A723F8"/>
    <w:rsid w:val="00A729B3"/>
    <w:rsid w:val="00A734F3"/>
    <w:rsid w:val="00A7355B"/>
    <w:rsid w:val="00A73627"/>
    <w:rsid w:val="00A75017"/>
    <w:rsid w:val="00A75844"/>
    <w:rsid w:val="00A76580"/>
    <w:rsid w:val="00A777B2"/>
    <w:rsid w:val="00A77CCB"/>
    <w:rsid w:val="00A80C03"/>
    <w:rsid w:val="00A80E5C"/>
    <w:rsid w:val="00A82F36"/>
    <w:rsid w:val="00A83D8D"/>
    <w:rsid w:val="00A8446B"/>
    <w:rsid w:val="00A8464B"/>
    <w:rsid w:val="00A8473F"/>
    <w:rsid w:val="00A85099"/>
    <w:rsid w:val="00A8594A"/>
    <w:rsid w:val="00A85C95"/>
    <w:rsid w:val="00A860B9"/>
    <w:rsid w:val="00A861CB"/>
    <w:rsid w:val="00A862D6"/>
    <w:rsid w:val="00A864C3"/>
    <w:rsid w:val="00A8715E"/>
    <w:rsid w:val="00A904F9"/>
    <w:rsid w:val="00A90F09"/>
    <w:rsid w:val="00A913CA"/>
    <w:rsid w:val="00A915D0"/>
    <w:rsid w:val="00A916FC"/>
    <w:rsid w:val="00A9209F"/>
    <w:rsid w:val="00A9295B"/>
    <w:rsid w:val="00A93B09"/>
    <w:rsid w:val="00A94247"/>
    <w:rsid w:val="00A94915"/>
    <w:rsid w:val="00A94A83"/>
    <w:rsid w:val="00A952A3"/>
    <w:rsid w:val="00A952D7"/>
    <w:rsid w:val="00A95ADD"/>
    <w:rsid w:val="00A963F7"/>
    <w:rsid w:val="00A96AD8"/>
    <w:rsid w:val="00A975AE"/>
    <w:rsid w:val="00A9788E"/>
    <w:rsid w:val="00AA052C"/>
    <w:rsid w:val="00AA0614"/>
    <w:rsid w:val="00AA1E45"/>
    <w:rsid w:val="00AA223A"/>
    <w:rsid w:val="00AA2B95"/>
    <w:rsid w:val="00AA2EEA"/>
    <w:rsid w:val="00AA3430"/>
    <w:rsid w:val="00AA351E"/>
    <w:rsid w:val="00AA3A7A"/>
    <w:rsid w:val="00AA4286"/>
    <w:rsid w:val="00AA456B"/>
    <w:rsid w:val="00AA4F0F"/>
    <w:rsid w:val="00AA57F5"/>
    <w:rsid w:val="00AA603B"/>
    <w:rsid w:val="00AA672E"/>
    <w:rsid w:val="00AA6EC9"/>
    <w:rsid w:val="00AB05B7"/>
    <w:rsid w:val="00AB0959"/>
    <w:rsid w:val="00AB0F0B"/>
    <w:rsid w:val="00AB1054"/>
    <w:rsid w:val="00AB15AF"/>
    <w:rsid w:val="00AB174D"/>
    <w:rsid w:val="00AB38A3"/>
    <w:rsid w:val="00AB41D5"/>
    <w:rsid w:val="00AB6309"/>
    <w:rsid w:val="00AB6C5F"/>
    <w:rsid w:val="00AB7129"/>
    <w:rsid w:val="00AB7792"/>
    <w:rsid w:val="00AC1323"/>
    <w:rsid w:val="00AC1CF2"/>
    <w:rsid w:val="00AC27A6"/>
    <w:rsid w:val="00AC30F7"/>
    <w:rsid w:val="00AC36CD"/>
    <w:rsid w:val="00AC3A5A"/>
    <w:rsid w:val="00AC4D95"/>
    <w:rsid w:val="00AC5DBB"/>
    <w:rsid w:val="00AC5DF4"/>
    <w:rsid w:val="00AC60AF"/>
    <w:rsid w:val="00AC7B95"/>
    <w:rsid w:val="00AD04AE"/>
    <w:rsid w:val="00AD0AEF"/>
    <w:rsid w:val="00AD0D78"/>
    <w:rsid w:val="00AD11B7"/>
    <w:rsid w:val="00AD1484"/>
    <w:rsid w:val="00AD1A94"/>
    <w:rsid w:val="00AD1C05"/>
    <w:rsid w:val="00AD1ED0"/>
    <w:rsid w:val="00AD2540"/>
    <w:rsid w:val="00AD2582"/>
    <w:rsid w:val="00AD3BF4"/>
    <w:rsid w:val="00AD4126"/>
    <w:rsid w:val="00AD421C"/>
    <w:rsid w:val="00AD44FA"/>
    <w:rsid w:val="00AD491F"/>
    <w:rsid w:val="00AD5321"/>
    <w:rsid w:val="00AD69E1"/>
    <w:rsid w:val="00AD7D04"/>
    <w:rsid w:val="00AE070A"/>
    <w:rsid w:val="00AE101C"/>
    <w:rsid w:val="00AE117E"/>
    <w:rsid w:val="00AE12E3"/>
    <w:rsid w:val="00AE2068"/>
    <w:rsid w:val="00AE2FB3"/>
    <w:rsid w:val="00AE362A"/>
    <w:rsid w:val="00AE37E5"/>
    <w:rsid w:val="00AE4B8F"/>
    <w:rsid w:val="00AE53F2"/>
    <w:rsid w:val="00AE5EB4"/>
    <w:rsid w:val="00AE6C2B"/>
    <w:rsid w:val="00AE7E7E"/>
    <w:rsid w:val="00AE7F06"/>
    <w:rsid w:val="00AF0336"/>
    <w:rsid w:val="00AF0914"/>
    <w:rsid w:val="00AF0BCB"/>
    <w:rsid w:val="00AF0C18"/>
    <w:rsid w:val="00AF151F"/>
    <w:rsid w:val="00AF223E"/>
    <w:rsid w:val="00AF34A8"/>
    <w:rsid w:val="00AF364A"/>
    <w:rsid w:val="00AF4079"/>
    <w:rsid w:val="00AF47C5"/>
    <w:rsid w:val="00AF5398"/>
    <w:rsid w:val="00AF58A8"/>
    <w:rsid w:val="00AF5BAF"/>
    <w:rsid w:val="00AF60D9"/>
    <w:rsid w:val="00B003F2"/>
    <w:rsid w:val="00B01B92"/>
    <w:rsid w:val="00B04105"/>
    <w:rsid w:val="00B049AF"/>
    <w:rsid w:val="00B04BE8"/>
    <w:rsid w:val="00B051B4"/>
    <w:rsid w:val="00B06CD8"/>
    <w:rsid w:val="00B07242"/>
    <w:rsid w:val="00B10534"/>
    <w:rsid w:val="00B113DB"/>
    <w:rsid w:val="00B11A31"/>
    <w:rsid w:val="00B11D8A"/>
    <w:rsid w:val="00B1206C"/>
    <w:rsid w:val="00B12981"/>
    <w:rsid w:val="00B147DD"/>
    <w:rsid w:val="00B152A4"/>
    <w:rsid w:val="00B156FD"/>
    <w:rsid w:val="00B161DC"/>
    <w:rsid w:val="00B16439"/>
    <w:rsid w:val="00B1648A"/>
    <w:rsid w:val="00B17D49"/>
    <w:rsid w:val="00B2125E"/>
    <w:rsid w:val="00B2126A"/>
    <w:rsid w:val="00B21532"/>
    <w:rsid w:val="00B21F61"/>
    <w:rsid w:val="00B233CB"/>
    <w:rsid w:val="00B2362E"/>
    <w:rsid w:val="00B24A42"/>
    <w:rsid w:val="00B2514A"/>
    <w:rsid w:val="00B261F1"/>
    <w:rsid w:val="00B265BC"/>
    <w:rsid w:val="00B26F4B"/>
    <w:rsid w:val="00B3056E"/>
    <w:rsid w:val="00B31FB1"/>
    <w:rsid w:val="00B323B6"/>
    <w:rsid w:val="00B33947"/>
    <w:rsid w:val="00B33952"/>
    <w:rsid w:val="00B33C5E"/>
    <w:rsid w:val="00B342F4"/>
    <w:rsid w:val="00B34369"/>
    <w:rsid w:val="00B34DC2"/>
    <w:rsid w:val="00B35458"/>
    <w:rsid w:val="00B36400"/>
    <w:rsid w:val="00B36D92"/>
    <w:rsid w:val="00B378E5"/>
    <w:rsid w:val="00B37CE6"/>
    <w:rsid w:val="00B40B02"/>
    <w:rsid w:val="00B42767"/>
    <w:rsid w:val="00B4276C"/>
    <w:rsid w:val="00B429E2"/>
    <w:rsid w:val="00B43234"/>
    <w:rsid w:val="00B4346D"/>
    <w:rsid w:val="00B4395C"/>
    <w:rsid w:val="00B440F4"/>
    <w:rsid w:val="00B447A5"/>
    <w:rsid w:val="00B45F86"/>
    <w:rsid w:val="00B464C8"/>
    <w:rsid w:val="00B4654C"/>
    <w:rsid w:val="00B47293"/>
    <w:rsid w:val="00B47599"/>
    <w:rsid w:val="00B5035C"/>
    <w:rsid w:val="00B50E50"/>
    <w:rsid w:val="00B51709"/>
    <w:rsid w:val="00B517A0"/>
    <w:rsid w:val="00B52120"/>
    <w:rsid w:val="00B52D6D"/>
    <w:rsid w:val="00B53E9F"/>
    <w:rsid w:val="00B54ABC"/>
    <w:rsid w:val="00B54DDE"/>
    <w:rsid w:val="00B56FBE"/>
    <w:rsid w:val="00B5731A"/>
    <w:rsid w:val="00B575C7"/>
    <w:rsid w:val="00B60282"/>
    <w:rsid w:val="00B60ACF"/>
    <w:rsid w:val="00B60DDA"/>
    <w:rsid w:val="00B6118D"/>
    <w:rsid w:val="00B61247"/>
    <w:rsid w:val="00B61741"/>
    <w:rsid w:val="00B625EC"/>
    <w:rsid w:val="00B62B58"/>
    <w:rsid w:val="00B63DC1"/>
    <w:rsid w:val="00B65149"/>
    <w:rsid w:val="00B65DB4"/>
    <w:rsid w:val="00B66567"/>
    <w:rsid w:val="00B665EB"/>
    <w:rsid w:val="00B66987"/>
    <w:rsid w:val="00B66F52"/>
    <w:rsid w:val="00B66FE5"/>
    <w:rsid w:val="00B7016A"/>
    <w:rsid w:val="00B70393"/>
    <w:rsid w:val="00B71528"/>
    <w:rsid w:val="00B72720"/>
    <w:rsid w:val="00B72880"/>
    <w:rsid w:val="00B74320"/>
    <w:rsid w:val="00B74745"/>
    <w:rsid w:val="00B75752"/>
    <w:rsid w:val="00B758BF"/>
    <w:rsid w:val="00B75EA0"/>
    <w:rsid w:val="00B77EC8"/>
    <w:rsid w:val="00B827A6"/>
    <w:rsid w:val="00B831CE"/>
    <w:rsid w:val="00B83928"/>
    <w:rsid w:val="00B83C4F"/>
    <w:rsid w:val="00B83D5F"/>
    <w:rsid w:val="00B83F39"/>
    <w:rsid w:val="00B86677"/>
    <w:rsid w:val="00B87131"/>
    <w:rsid w:val="00B87D41"/>
    <w:rsid w:val="00B91885"/>
    <w:rsid w:val="00B921B9"/>
    <w:rsid w:val="00B927E3"/>
    <w:rsid w:val="00B92E7E"/>
    <w:rsid w:val="00B939B1"/>
    <w:rsid w:val="00B93FFA"/>
    <w:rsid w:val="00B941FB"/>
    <w:rsid w:val="00B945DC"/>
    <w:rsid w:val="00B9482E"/>
    <w:rsid w:val="00B95090"/>
    <w:rsid w:val="00B96D40"/>
    <w:rsid w:val="00B97386"/>
    <w:rsid w:val="00B977B2"/>
    <w:rsid w:val="00BA24EE"/>
    <w:rsid w:val="00BA263B"/>
    <w:rsid w:val="00BA2870"/>
    <w:rsid w:val="00BA4057"/>
    <w:rsid w:val="00BA42B2"/>
    <w:rsid w:val="00BA58D4"/>
    <w:rsid w:val="00BA5B9E"/>
    <w:rsid w:val="00BA63B6"/>
    <w:rsid w:val="00BA6A38"/>
    <w:rsid w:val="00BA778F"/>
    <w:rsid w:val="00BA7C9A"/>
    <w:rsid w:val="00BB19BA"/>
    <w:rsid w:val="00BB23C2"/>
    <w:rsid w:val="00BB26A2"/>
    <w:rsid w:val="00BB27F2"/>
    <w:rsid w:val="00BB4716"/>
    <w:rsid w:val="00BB5F8F"/>
    <w:rsid w:val="00BB657A"/>
    <w:rsid w:val="00BB7329"/>
    <w:rsid w:val="00BB7A7D"/>
    <w:rsid w:val="00BC0762"/>
    <w:rsid w:val="00BC17B8"/>
    <w:rsid w:val="00BC1A4E"/>
    <w:rsid w:val="00BC2DE3"/>
    <w:rsid w:val="00BC3A3A"/>
    <w:rsid w:val="00BC426B"/>
    <w:rsid w:val="00BC4A02"/>
    <w:rsid w:val="00BC5415"/>
    <w:rsid w:val="00BC5DC7"/>
    <w:rsid w:val="00BC6B8B"/>
    <w:rsid w:val="00BC73D8"/>
    <w:rsid w:val="00BC76CA"/>
    <w:rsid w:val="00BD4ECC"/>
    <w:rsid w:val="00BD52D7"/>
    <w:rsid w:val="00BD5954"/>
    <w:rsid w:val="00BD5AD2"/>
    <w:rsid w:val="00BE1B61"/>
    <w:rsid w:val="00BE22F3"/>
    <w:rsid w:val="00BE3002"/>
    <w:rsid w:val="00BE31EB"/>
    <w:rsid w:val="00BE46A5"/>
    <w:rsid w:val="00BE4972"/>
    <w:rsid w:val="00BE5761"/>
    <w:rsid w:val="00BE5B52"/>
    <w:rsid w:val="00BE74C5"/>
    <w:rsid w:val="00BE7B8D"/>
    <w:rsid w:val="00BF0993"/>
    <w:rsid w:val="00BF10A9"/>
    <w:rsid w:val="00BF1703"/>
    <w:rsid w:val="00BF231C"/>
    <w:rsid w:val="00BF3B60"/>
    <w:rsid w:val="00BF4BE7"/>
    <w:rsid w:val="00BF4EE9"/>
    <w:rsid w:val="00BF51E5"/>
    <w:rsid w:val="00BF5329"/>
    <w:rsid w:val="00BF70EE"/>
    <w:rsid w:val="00BF74A6"/>
    <w:rsid w:val="00C010A2"/>
    <w:rsid w:val="00C013A5"/>
    <w:rsid w:val="00C013AD"/>
    <w:rsid w:val="00C01A44"/>
    <w:rsid w:val="00C026DA"/>
    <w:rsid w:val="00C03EFC"/>
    <w:rsid w:val="00C04904"/>
    <w:rsid w:val="00C0542C"/>
    <w:rsid w:val="00C0560D"/>
    <w:rsid w:val="00C056B3"/>
    <w:rsid w:val="00C0570C"/>
    <w:rsid w:val="00C06475"/>
    <w:rsid w:val="00C06888"/>
    <w:rsid w:val="00C06A6B"/>
    <w:rsid w:val="00C07D0B"/>
    <w:rsid w:val="00C1010A"/>
    <w:rsid w:val="00C103E5"/>
    <w:rsid w:val="00C10B34"/>
    <w:rsid w:val="00C12FCF"/>
    <w:rsid w:val="00C13319"/>
    <w:rsid w:val="00C13EE9"/>
    <w:rsid w:val="00C14D61"/>
    <w:rsid w:val="00C162B6"/>
    <w:rsid w:val="00C173AA"/>
    <w:rsid w:val="00C17C14"/>
    <w:rsid w:val="00C205DD"/>
    <w:rsid w:val="00C21506"/>
    <w:rsid w:val="00C21540"/>
    <w:rsid w:val="00C21906"/>
    <w:rsid w:val="00C21BFA"/>
    <w:rsid w:val="00C22148"/>
    <w:rsid w:val="00C2232E"/>
    <w:rsid w:val="00C224F4"/>
    <w:rsid w:val="00C24C68"/>
    <w:rsid w:val="00C24C8D"/>
    <w:rsid w:val="00C255A4"/>
    <w:rsid w:val="00C25FE2"/>
    <w:rsid w:val="00C26B53"/>
    <w:rsid w:val="00C26C22"/>
    <w:rsid w:val="00C27595"/>
    <w:rsid w:val="00C279B2"/>
    <w:rsid w:val="00C32AC3"/>
    <w:rsid w:val="00C33DD9"/>
    <w:rsid w:val="00C33E50"/>
    <w:rsid w:val="00C34C20"/>
    <w:rsid w:val="00C35A3E"/>
    <w:rsid w:val="00C42130"/>
    <w:rsid w:val="00C423A4"/>
    <w:rsid w:val="00C424CD"/>
    <w:rsid w:val="00C4336B"/>
    <w:rsid w:val="00C4370D"/>
    <w:rsid w:val="00C44BF5"/>
    <w:rsid w:val="00C47764"/>
    <w:rsid w:val="00C506AF"/>
    <w:rsid w:val="00C50BD3"/>
    <w:rsid w:val="00C50C85"/>
    <w:rsid w:val="00C51576"/>
    <w:rsid w:val="00C52190"/>
    <w:rsid w:val="00C521D6"/>
    <w:rsid w:val="00C52D9A"/>
    <w:rsid w:val="00C533EE"/>
    <w:rsid w:val="00C534F0"/>
    <w:rsid w:val="00C53687"/>
    <w:rsid w:val="00C53D05"/>
    <w:rsid w:val="00C54EC0"/>
    <w:rsid w:val="00C55232"/>
    <w:rsid w:val="00C553A4"/>
    <w:rsid w:val="00C55A06"/>
    <w:rsid w:val="00C55BEE"/>
    <w:rsid w:val="00C55D03"/>
    <w:rsid w:val="00C5645D"/>
    <w:rsid w:val="00C601BC"/>
    <w:rsid w:val="00C60245"/>
    <w:rsid w:val="00C60E14"/>
    <w:rsid w:val="00C61D88"/>
    <w:rsid w:val="00C623DC"/>
    <w:rsid w:val="00C6329F"/>
    <w:rsid w:val="00C63340"/>
    <w:rsid w:val="00C637BF"/>
    <w:rsid w:val="00C643F9"/>
    <w:rsid w:val="00C64E95"/>
    <w:rsid w:val="00C65297"/>
    <w:rsid w:val="00C65D57"/>
    <w:rsid w:val="00C6693C"/>
    <w:rsid w:val="00C673FA"/>
    <w:rsid w:val="00C67869"/>
    <w:rsid w:val="00C71372"/>
    <w:rsid w:val="00C72159"/>
    <w:rsid w:val="00C72410"/>
    <w:rsid w:val="00C7263F"/>
    <w:rsid w:val="00C7287F"/>
    <w:rsid w:val="00C733CD"/>
    <w:rsid w:val="00C73E29"/>
    <w:rsid w:val="00C73E34"/>
    <w:rsid w:val="00C73E72"/>
    <w:rsid w:val="00C76674"/>
    <w:rsid w:val="00C76CE8"/>
    <w:rsid w:val="00C80CB8"/>
    <w:rsid w:val="00C819F8"/>
    <w:rsid w:val="00C81A52"/>
    <w:rsid w:val="00C82006"/>
    <w:rsid w:val="00C8248C"/>
    <w:rsid w:val="00C8296D"/>
    <w:rsid w:val="00C830B7"/>
    <w:rsid w:val="00C84E33"/>
    <w:rsid w:val="00C86151"/>
    <w:rsid w:val="00C863E5"/>
    <w:rsid w:val="00C86568"/>
    <w:rsid w:val="00C86D6F"/>
    <w:rsid w:val="00C87932"/>
    <w:rsid w:val="00C905FC"/>
    <w:rsid w:val="00C90BF7"/>
    <w:rsid w:val="00C92D03"/>
    <w:rsid w:val="00C9319C"/>
    <w:rsid w:val="00C94312"/>
    <w:rsid w:val="00C9435D"/>
    <w:rsid w:val="00C94CFF"/>
    <w:rsid w:val="00C94DF2"/>
    <w:rsid w:val="00C96741"/>
    <w:rsid w:val="00C97020"/>
    <w:rsid w:val="00C9742F"/>
    <w:rsid w:val="00C9750A"/>
    <w:rsid w:val="00C97586"/>
    <w:rsid w:val="00CA29BE"/>
    <w:rsid w:val="00CA2D1B"/>
    <w:rsid w:val="00CA2DD9"/>
    <w:rsid w:val="00CA351F"/>
    <w:rsid w:val="00CA375D"/>
    <w:rsid w:val="00CA4369"/>
    <w:rsid w:val="00CA53BB"/>
    <w:rsid w:val="00CA5D75"/>
    <w:rsid w:val="00CA662A"/>
    <w:rsid w:val="00CA6AA3"/>
    <w:rsid w:val="00CA6C7B"/>
    <w:rsid w:val="00CA7AFD"/>
    <w:rsid w:val="00CA7C3C"/>
    <w:rsid w:val="00CA7F4B"/>
    <w:rsid w:val="00CB0050"/>
    <w:rsid w:val="00CB0189"/>
    <w:rsid w:val="00CB0BA2"/>
    <w:rsid w:val="00CB1A42"/>
    <w:rsid w:val="00CB1B0C"/>
    <w:rsid w:val="00CB1D61"/>
    <w:rsid w:val="00CB2399"/>
    <w:rsid w:val="00CB2C0B"/>
    <w:rsid w:val="00CB3477"/>
    <w:rsid w:val="00CB517D"/>
    <w:rsid w:val="00CB5909"/>
    <w:rsid w:val="00CB7956"/>
    <w:rsid w:val="00CC038D"/>
    <w:rsid w:val="00CC08DB"/>
    <w:rsid w:val="00CC34FF"/>
    <w:rsid w:val="00CC39FF"/>
    <w:rsid w:val="00CC3C2F"/>
    <w:rsid w:val="00CC4AC8"/>
    <w:rsid w:val="00CC4E97"/>
    <w:rsid w:val="00CC4FA8"/>
    <w:rsid w:val="00CC5233"/>
    <w:rsid w:val="00CC58D7"/>
    <w:rsid w:val="00CC594F"/>
    <w:rsid w:val="00CC59B3"/>
    <w:rsid w:val="00CC5DE6"/>
    <w:rsid w:val="00CC6E4E"/>
    <w:rsid w:val="00CC6FE8"/>
    <w:rsid w:val="00CC7202"/>
    <w:rsid w:val="00CC7414"/>
    <w:rsid w:val="00CC7F42"/>
    <w:rsid w:val="00CD03BA"/>
    <w:rsid w:val="00CD0D02"/>
    <w:rsid w:val="00CD2808"/>
    <w:rsid w:val="00CD28BF"/>
    <w:rsid w:val="00CD29A2"/>
    <w:rsid w:val="00CD331B"/>
    <w:rsid w:val="00CD386D"/>
    <w:rsid w:val="00CD4025"/>
    <w:rsid w:val="00CD4092"/>
    <w:rsid w:val="00CD4386"/>
    <w:rsid w:val="00CD4A20"/>
    <w:rsid w:val="00CD50A1"/>
    <w:rsid w:val="00CD519E"/>
    <w:rsid w:val="00CD5974"/>
    <w:rsid w:val="00CD5FFA"/>
    <w:rsid w:val="00CD68A4"/>
    <w:rsid w:val="00CD6F19"/>
    <w:rsid w:val="00CD7595"/>
    <w:rsid w:val="00CD7E34"/>
    <w:rsid w:val="00CE0C4F"/>
    <w:rsid w:val="00CE216D"/>
    <w:rsid w:val="00CE2851"/>
    <w:rsid w:val="00CE30EA"/>
    <w:rsid w:val="00CE4053"/>
    <w:rsid w:val="00CE5884"/>
    <w:rsid w:val="00CE60D5"/>
    <w:rsid w:val="00CE7533"/>
    <w:rsid w:val="00CF048A"/>
    <w:rsid w:val="00CF09BE"/>
    <w:rsid w:val="00CF10AF"/>
    <w:rsid w:val="00CF155A"/>
    <w:rsid w:val="00CF19C6"/>
    <w:rsid w:val="00CF2503"/>
    <w:rsid w:val="00CF2947"/>
    <w:rsid w:val="00CF2CBF"/>
    <w:rsid w:val="00CF2CF6"/>
    <w:rsid w:val="00CF2DC1"/>
    <w:rsid w:val="00CF414C"/>
    <w:rsid w:val="00CF60BC"/>
    <w:rsid w:val="00CF62A2"/>
    <w:rsid w:val="00CF686F"/>
    <w:rsid w:val="00CF6E60"/>
    <w:rsid w:val="00CF7A88"/>
    <w:rsid w:val="00CF7BCA"/>
    <w:rsid w:val="00D008FD"/>
    <w:rsid w:val="00D0321C"/>
    <w:rsid w:val="00D035EC"/>
    <w:rsid w:val="00D04BD2"/>
    <w:rsid w:val="00D05791"/>
    <w:rsid w:val="00D069D0"/>
    <w:rsid w:val="00D06AB1"/>
    <w:rsid w:val="00D072ED"/>
    <w:rsid w:val="00D0757E"/>
    <w:rsid w:val="00D0771C"/>
    <w:rsid w:val="00D07A16"/>
    <w:rsid w:val="00D07F72"/>
    <w:rsid w:val="00D1067E"/>
    <w:rsid w:val="00D10F50"/>
    <w:rsid w:val="00D11272"/>
    <w:rsid w:val="00D11B3F"/>
    <w:rsid w:val="00D12475"/>
    <w:rsid w:val="00D126F5"/>
    <w:rsid w:val="00D1334E"/>
    <w:rsid w:val="00D13B1C"/>
    <w:rsid w:val="00D1489E"/>
    <w:rsid w:val="00D15BFB"/>
    <w:rsid w:val="00D1688A"/>
    <w:rsid w:val="00D1693F"/>
    <w:rsid w:val="00D20737"/>
    <w:rsid w:val="00D21E81"/>
    <w:rsid w:val="00D223DE"/>
    <w:rsid w:val="00D22F44"/>
    <w:rsid w:val="00D232F8"/>
    <w:rsid w:val="00D2392F"/>
    <w:rsid w:val="00D23FED"/>
    <w:rsid w:val="00D25E37"/>
    <w:rsid w:val="00D26394"/>
    <w:rsid w:val="00D2661A"/>
    <w:rsid w:val="00D26C0C"/>
    <w:rsid w:val="00D26C43"/>
    <w:rsid w:val="00D27582"/>
    <w:rsid w:val="00D27EC4"/>
    <w:rsid w:val="00D32719"/>
    <w:rsid w:val="00D32BDB"/>
    <w:rsid w:val="00D33333"/>
    <w:rsid w:val="00D33457"/>
    <w:rsid w:val="00D352A2"/>
    <w:rsid w:val="00D3596E"/>
    <w:rsid w:val="00D364E1"/>
    <w:rsid w:val="00D364F1"/>
    <w:rsid w:val="00D36BBC"/>
    <w:rsid w:val="00D40C9C"/>
    <w:rsid w:val="00D4162B"/>
    <w:rsid w:val="00D427E4"/>
    <w:rsid w:val="00D428DB"/>
    <w:rsid w:val="00D42932"/>
    <w:rsid w:val="00D434D0"/>
    <w:rsid w:val="00D44B00"/>
    <w:rsid w:val="00D4514F"/>
    <w:rsid w:val="00D451E2"/>
    <w:rsid w:val="00D452F3"/>
    <w:rsid w:val="00D45E89"/>
    <w:rsid w:val="00D45E8D"/>
    <w:rsid w:val="00D46048"/>
    <w:rsid w:val="00D466AE"/>
    <w:rsid w:val="00D46F2B"/>
    <w:rsid w:val="00D47082"/>
    <w:rsid w:val="00D4734F"/>
    <w:rsid w:val="00D47867"/>
    <w:rsid w:val="00D51BF3"/>
    <w:rsid w:val="00D53205"/>
    <w:rsid w:val="00D533B9"/>
    <w:rsid w:val="00D546D4"/>
    <w:rsid w:val="00D56B52"/>
    <w:rsid w:val="00D56D50"/>
    <w:rsid w:val="00D57BD7"/>
    <w:rsid w:val="00D60CEE"/>
    <w:rsid w:val="00D60E78"/>
    <w:rsid w:val="00D61937"/>
    <w:rsid w:val="00D633B1"/>
    <w:rsid w:val="00D63838"/>
    <w:rsid w:val="00D65A5A"/>
    <w:rsid w:val="00D66492"/>
    <w:rsid w:val="00D66846"/>
    <w:rsid w:val="00D675FB"/>
    <w:rsid w:val="00D677F8"/>
    <w:rsid w:val="00D678B1"/>
    <w:rsid w:val="00D710FA"/>
    <w:rsid w:val="00D71F25"/>
    <w:rsid w:val="00D72610"/>
    <w:rsid w:val="00D727CE"/>
    <w:rsid w:val="00D72A9C"/>
    <w:rsid w:val="00D73142"/>
    <w:rsid w:val="00D73FA4"/>
    <w:rsid w:val="00D7525B"/>
    <w:rsid w:val="00D763DD"/>
    <w:rsid w:val="00D76F8E"/>
    <w:rsid w:val="00D77031"/>
    <w:rsid w:val="00D77120"/>
    <w:rsid w:val="00D809FB"/>
    <w:rsid w:val="00D80A72"/>
    <w:rsid w:val="00D814BD"/>
    <w:rsid w:val="00D81DC0"/>
    <w:rsid w:val="00D81E08"/>
    <w:rsid w:val="00D84218"/>
    <w:rsid w:val="00D842CE"/>
    <w:rsid w:val="00D84941"/>
    <w:rsid w:val="00D84FA1"/>
    <w:rsid w:val="00D84FC6"/>
    <w:rsid w:val="00D851F0"/>
    <w:rsid w:val="00D866E4"/>
    <w:rsid w:val="00D86BCC"/>
    <w:rsid w:val="00D86DB7"/>
    <w:rsid w:val="00D86F5C"/>
    <w:rsid w:val="00D904AD"/>
    <w:rsid w:val="00D926D0"/>
    <w:rsid w:val="00D92B00"/>
    <w:rsid w:val="00D92C67"/>
    <w:rsid w:val="00D93030"/>
    <w:rsid w:val="00D94089"/>
    <w:rsid w:val="00D9422C"/>
    <w:rsid w:val="00D950E1"/>
    <w:rsid w:val="00D952A6"/>
    <w:rsid w:val="00D95313"/>
    <w:rsid w:val="00D95CB2"/>
    <w:rsid w:val="00D9650D"/>
    <w:rsid w:val="00D96B6F"/>
    <w:rsid w:val="00D96C7C"/>
    <w:rsid w:val="00D9797D"/>
    <w:rsid w:val="00D97F99"/>
    <w:rsid w:val="00DA03CE"/>
    <w:rsid w:val="00DA047A"/>
    <w:rsid w:val="00DA05C0"/>
    <w:rsid w:val="00DA09F4"/>
    <w:rsid w:val="00DA1077"/>
    <w:rsid w:val="00DA164F"/>
    <w:rsid w:val="00DA1E08"/>
    <w:rsid w:val="00DA24F8"/>
    <w:rsid w:val="00DA28E8"/>
    <w:rsid w:val="00DA38D3"/>
    <w:rsid w:val="00DA3932"/>
    <w:rsid w:val="00DA3AFC"/>
    <w:rsid w:val="00DA64F8"/>
    <w:rsid w:val="00DA6B59"/>
    <w:rsid w:val="00DA6C15"/>
    <w:rsid w:val="00DB008D"/>
    <w:rsid w:val="00DB0258"/>
    <w:rsid w:val="00DB1BCD"/>
    <w:rsid w:val="00DB23D8"/>
    <w:rsid w:val="00DB2BCE"/>
    <w:rsid w:val="00DB38EE"/>
    <w:rsid w:val="00DB3F04"/>
    <w:rsid w:val="00DB498B"/>
    <w:rsid w:val="00DB4B5F"/>
    <w:rsid w:val="00DB4E92"/>
    <w:rsid w:val="00DB5F8C"/>
    <w:rsid w:val="00DB60E0"/>
    <w:rsid w:val="00DB6275"/>
    <w:rsid w:val="00DB66CA"/>
    <w:rsid w:val="00DB6BCA"/>
    <w:rsid w:val="00DB6C41"/>
    <w:rsid w:val="00DB73F7"/>
    <w:rsid w:val="00DC0321"/>
    <w:rsid w:val="00DC0724"/>
    <w:rsid w:val="00DC0818"/>
    <w:rsid w:val="00DC0FE6"/>
    <w:rsid w:val="00DC1AFB"/>
    <w:rsid w:val="00DC3067"/>
    <w:rsid w:val="00DC370B"/>
    <w:rsid w:val="00DC3F83"/>
    <w:rsid w:val="00DC4456"/>
    <w:rsid w:val="00DC509D"/>
    <w:rsid w:val="00DC5B90"/>
    <w:rsid w:val="00DC646E"/>
    <w:rsid w:val="00DD00FF"/>
    <w:rsid w:val="00DD0619"/>
    <w:rsid w:val="00DD07FB"/>
    <w:rsid w:val="00DD1DF0"/>
    <w:rsid w:val="00DD25C6"/>
    <w:rsid w:val="00DD28B5"/>
    <w:rsid w:val="00DD2CAD"/>
    <w:rsid w:val="00DD2DF0"/>
    <w:rsid w:val="00DD3475"/>
    <w:rsid w:val="00DD37FA"/>
    <w:rsid w:val="00DD4A2F"/>
    <w:rsid w:val="00DD4CA5"/>
    <w:rsid w:val="00DD4DA2"/>
    <w:rsid w:val="00DD4FE5"/>
    <w:rsid w:val="00DD54B0"/>
    <w:rsid w:val="00DD57EE"/>
    <w:rsid w:val="00DD6A14"/>
    <w:rsid w:val="00DD6BCC"/>
    <w:rsid w:val="00DD776E"/>
    <w:rsid w:val="00DD7BBA"/>
    <w:rsid w:val="00DE0A4B"/>
    <w:rsid w:val="00DE0B56"/>
    <w:rsid w:val="00DE2410"/>
    <w:rsid w:val="00DE2939"/>
    <w:rsid w:val="00DE3FFF"/>
    <w:rsid w:val="00DE47AC"/>
    <w:rsid w:val="00DE5E52"/>
    <w:rsid w:val="00DE5ED3"/>
    <w:rsid w:val="00DE63F7"/>
    <w:rsid w:val="00DE6C23"/>
    <w:rsid w:val="00DE6E81"/>
    <w:rsid w:val="00DE703F"/>
    <w:rsid w:val="00DE7595"/>
    <w:rsid w:val="00DF1642"/>
    <w:rsid w:val="00DF1961"/>
    <w:rsid w:val="00DF201F"/>
    <w:rsid w:val="00DF26EF"/>
    <w:rsid w:val="00DF2A75"/>
    <w:rsid w:val="00DF44DE"/>
    <w:rsid w:val="00DF4852"/>
    <w:rsid w:val="00DF5326"/>
    <w:rsid w:val="00DF53CA"/>
    <w:rsid w:val="00DF5F11"/>
    <w:rsid w:val="00DF5FCF"/>
    <w:rsid w:val="00DF7028"/>
    <w:rsid w:val="00E00AA5"/>
    <w:rsid w:val="00E01138"/>
    <w:rsid w:val="00E015C7"/>
    <w:rsid w:val="00E01D7A"/>
    <w:rsid w:val="00E02DFB"/>
    <w:rsid w:val="00E030F9"/>
    <w:rsid w:val="00E0311A"/>
    <w:rsid w:val="00E03138"/>
    <w:rsid w:val="00E05031"/>
    <w:rsid w:val="00E05750"/>
    <w:rsid w:val="00E06404"/>
    <w:rsid w:val="00E10A51"/>
    <w:rsid w:val="00E11A85"/>
    <w:rsid w:val="00E11B5D"/>
    <w:rsid w:val="00E12103"/>
    <w:rsid w:val="00E12495"/>
    <w:rsid w:val="00E13292"/>
    <w:rsid w:val="00E14F44"/>
    <w:rsid w:val="00E15CCD"/>
    <w:rsid w:val="00E16728"/>
    <w:rsid w:val="00E1678D"/>
    <w:rsid w:val="00E16B3B"/>
    <w:rsid w:val="00E202EF"/>
    <w:rsid w:val="00E2102F"/>
    <w:rsid w:val="00E210B5"/>
    <w:rsid w:val="00E2262B"/>
    <w:rsid w:val="00E23D99"/>
    <w:rsid w:val="00E2552F"/>
    <w:rsid w:val="00E25586"/>
    <w:rsid w:val="00E31291"/>
    <w:rsid w:val="00E3137A"/>
    <w:rsid w:val="00E31E3B"/>
    <w:rsid w:val="00E32CCF"/>
    <w:rsid w:val="00E34A98"/>
    <w:rsid w:val="00E35D1E"/>
    <w:rsid w:val="00E364F9"/>
    <w:rsid w:val="00E365FA"/>
    <w:rsid w:val="00E36789"/>
    <w:rsid w:val="00E376E9"/>
    <w:rsid w:val="00E379AB"/>
    <w:rsid w:val="00E4050C"/>
    <w:rsid w:val="00E418EF"/>
    <w:rsid w:val="00E43293"/>
    <w:rsid w:val="00E43427"/>
    <w:rsid w:val="00E434D7"/>
    <w:rsid w:val="00E44A83"/>
    <w:rsid w:val="00E46DB4"/>
    <w:rsid w:val="00E502C1"/>
    <w:rsid w:val="00E502DD"/>
    <w:rsid w:val="00E50777"/>
    <w:rsid w:val="00E5093E"/>
    <w:rsid w:val="00E50D3A"/>
    <w:rsid w:val="00E51387"/>
    <w:rsid w:val="00E51E68"/>
    <w:rsid w:val="00E527C2"/>
    <w:rsid w:val="00E52EFD"/>
    <w:rsid w:val="00E53A23"/>
    <w:rsid w:val="00E5408A"/>
    <w:rsid w:val="00E540B9"/>
    <w:rsid w:val="00E56800"/>
    <w:rsid w:val="00E56978"/>
    <w:rsid w:val="00E56C65"/>
    <w:rsid w:val="00E601E4"/>
    <w:rsid w:val="00E60C63"/>
    <w:rsid w:val="00E616DC"/>
    <w:rsid w:val="00E62A0A"/>
    <w:rsid w:val="00E62FF9"/>
    <w:rsid w:val="00E6331C"/>
    <w:rsid w:val="00E635D6"/>
    <w:rsid w:val="00E63687"/>
    <w:rsid w:val="00E639BC"/>
    <w:rsid w:val="00E643A7"/>
    <w:rsid w:val="00E6555F"/>
    <w:rsid w:val="00E66290"/>
    <w:rsid w:val="00E662E0"/>
    <w:rsid w:val="00E664CC"/>
    <w:rsid w:val="00E66AB8"/>
    <w:rsid w:val="00E66C80"/>
    <w:rsid w:val="00E66D80"/>
    <w:rsid w:val="00E66F72"/>
    <w:rsid w:val="00E67036"/>
    <w:rsid w:val="00E678B2"/>
    <w:rsid w:val="00E70388"/>
    <w:rsid w:val="00E706C8"/>
    <w:rsid w:val="00E7075F"/>
    <w:rsid w:val="00E70F92"/>
    <w:rsid w:val="00E73023"/>
    <w:rsid w:val="00E73D10"/>
    <w:rsid w:val="00E74137"/>
    <w:rsid w:val="00E743C0"/>
    <w:rsid w:val="00E74C54"/>
    <w:rsid w:val="00E7671C"/>
    <w:rsid w:val="00E76EB5"/>
    <w:rsid w:val="00E776B5"/>
    <w:rsid w:val="00E77727"/>
    <w:rsid w:val="00E77A03"/>
    <w:rsid w:val="00E822E8"/>
    <w:rsid w:val="00E82538"/>
    <w:rsid w:val="00E82554"/>
    <w:rsid w:val="00E82606"/>
    <w:rsid w:val="00E82906"/>
    <w:rsid w:val="00E83978"/>
    <w:rsid w:val="00E83987"/>
    <w:rsid w:val="00E839DB"/>
    <w:rsid w:val="00E846C8"/>
    <w:rsid w:val="00E84957"/>
    <w:rsid w:val="00E84A55"/>
    <w:rsid w:val="00E84D7D"/>
    <w:rsid w:val="00E85020"/>
    <w:rsid w:val="00E85BFF"/>
    <w:rsid w:val="00E87C5D"/>
    <w:rsid w:val="00E90391"/>
    <w:rsid w:val="00E906C2"/>
    <w:rsid w:val="00E91FF1"/>
    <w:rsid w:val="00E9311F"/>
    <w:rsid w:val="00E932FC"/>
    <w:rsid w:val="00E9335C"/>
    <w:rsid w:val="00E934D1"/>
    <w:rsid w:val="00E94AF0"/>
    <w:rsid w:val="00E95745"/>
    <w:rsid w:val="00E959D8"/>
    <w:rsid w:val="00E95D13"/>
    <w:rsid w:val="00E95DD3"/>
    <w:rsid w:val="00E962F8"/>
    <w:rsid w:val="00E969D5"/>
    <w:rsid w:val="00E97CC2"/>
    <w:rsid w:val="00EA08EE"/>
    <w:rsid w:val="00EA0B3D"/>
    <w:rsid w:val="00EA0F20"/>
    <w:rsid w:val="00EA1DA3"/>
    <w:rsid w:val="00EA320E"/>
    <w:rsid w:val="00EA58D1"/>
    <w:rsid w:val="00EA61BC"/>
    <w:rsid w:val="00EA681A"/>
    <w:rsid w:val="00EA735B"/>
    <w:rsid w:val="00EB0D45"/>
    <w:rsid w:val="00EB158D"/>
    <w:rsid w:val="00EB17DE"/>
    <w:rsid w:val="00EB1E5A"/>
    <w:rsid w:val="00EB1E69"/>
    <w:rsid w:val="00EB2086"/>
    <w:rsid w:val="00EB22A6"/>
    <w:rsid w:val="00EB2F0D"/>
    <w:rsid w:val="00EB40FC"/>
    <w:rsid w:val="00EB5EDF"/>
    <w:rsid w:val="00EB60FE"/>
    <w:rsid w:val="00EB6369"/>
    <w:rsid w:val="00EB6453"/>
    <w:rsid w:val="00EB74DB"/>
    <w:rsid w:val="00EC02E3"/>
    <w:rsid w:val="00EC06B5"/>
    <w:rsid w:val="00EC0ECD"/>
    <w:rsid w:val="00EC458D"/>
    <w:rsid w:val="00EC4D42"/>
    <w:rsid w:val="00EC5359"/>
    <w:rsid w:val="00EC54DF"/>
    <w:rsid w:val="00EC562A"/>
    <w:rsid w:val="00EC5E8A"/>
    <w:rsid w:val="00EC6B73"/>
    <w:rsid w:val="00EC6CB0"/>
    <w:rsid w:val="00EC73C3"/>
    <w:rsid w:val="00EC7A15"/>
    <w:rsid w:val="00EC7A94"/>
    <w:rsid w:val="00ED067A"/>
    <w:rsid w:val="00ED0795"/>
    <w:rsid w:val="00ED1063"/>
    <w:rsid w:val="00ED2381"/>
    <w:rsid w:val="00ED2B50"/>
    <w:rsid w:val="00ED4014"/>
    <w:rsid w:val="00ED462C"/>
    <w:rsid w:val="00ED5AC5"/>
    <w:rsid w:val="00ED6B5B"/>
    <w:rsid w:val="00EE0350"/>
    <w:rsid w:val="00EE0719"/>
    <w:rsid w:val="00EE0E80"/>
    <w:rsid w:val="00EE1A74"/>
    <w:rsid w:val="00EE35E3"/>
    <w:rsid w:val="00EE4EA0"/>
    <w:rsid w:val="00EE54A6"/>
    <w:rsid w:val="00EE5CE2"/>
    <w:rsid w:val="00EE613F"/>
    <w:rsid w:val="00EE7295"/>
    <w:rsid w:val="00EE775B"/>
    <w:rsid w:val="00EE7869"/>
    <w:rsid w:val="00EF054A"/>
    <w:rsid w:val="00EF07F8"/>
    <w:rsid w:val="00EF0F1D"/>
    <w:rsid w:val="00EF2093"/>
    <w:rsid w:val="00EF3235"/>
    <w:rsid w:val="00EF6933"/>
    <w:rsid w:val="00EF7E72"/>
    <w:rsid w:val="00F0007A"/>
    <w:rsid w:val="00F00088"/>
    <w:rsid w:val="00F01726"/>
    <w:rsid w:val="00F045FC"/>
    <w:rsid w:val="00F06D37"/>
    <w:rsid w:val="00F06DCC"/>
    <w:rsid w:val="00F07B9D"/>
    <w:rsid w:val="00F10017"/>
    <w:rsid w:val="00F10D74"/>
    <w:rsid w:val="00F11586"/>
    <w:rsid w:val="00F1183B"/>
    <w:rsid w:val="00F11C9F"/>
    <w:rsid w:val="00F11E34"/>
    <w:rsid w:val="00F12263"/>
    <w:rsid w:val="00F126AC"/>
    <w:rsid w:val="00F13501"/>
    <w:rsid w:val="00F13E2F"/>
    <w:rsid w:val="00F1409D"/>
    <w:rsid w:val="00F14214"/>
    <w:rsid w:val="00F157A9"/>
    <w:rsid w:val="00F166B4"/>
    <w:rsid w:val="00F20D6E"/>
    <w:rsid w:val="00F22264"/>
    <w:rsid w:val="00F22902"/>
    <w:rsid w:val="00F23CD1"/>
    <w:rsid w:val="00F24D5E"/>
    <w:rsid w:val="00F25BB6"/>
    <w:rsid w:val="00F26557"/>
    <w:rsid w:val="00F26B7E"/>
    <w:rsid w:val="00F27A3B"/>
    <w:rsid w:val="00F311CD"/>
    <w:rsid w:val="00F32BB4"/>
    <w:rsid w:val="00F32DBF"/>
    <w:rsid w:val="00F33817"/>
    <w:rsid w:val="00F34837"/>
    <w:rsid w:val="00F34BC7"/>
    <w:rsid w:val="00F35127"/>
    <w:rsid w:val="00F3585C"/>
    <w:rsid w:val="00F364E3"/>
    <w:rsid w:val="00F40032"/>
    <w:rsid w:val="00F411C0"/>
    <w:rsid w:val="00F4142E"/>
    <w:rsid w:val="00F420D5"/>
    <w:rsid w:val="00F42982"/>
    <w:rsid w:val="00F42A98"/>
    <w:rsid w:val="00F451EA"/>
    <w:rsid w:val="00F45447"/>
    <w:rsid w:val="00F456C6"/>
    <w:rsid w:val="00F4571B"/>
    <w:rsid w:val="00F4577B"/>
    <w:rsid w:val="00F46496"/>
    <w:rsid w:val="00F46751"/>
    <w:rsid w:val="00F47070"/>
    <w:rsid w:val="00F474D0"/>
    <w:rsid w:val="00F47B5C"/>
    <w:rsid w:val="00F50179"/>
    <w:rsid w:val="00F50864"/>
    <w:rsid w:val="00F50BDC"/>
    <w:rsid w:val="00F50FD5"/>
    <w:rsid w:val="00F515EE"/>
    <w:rsid w:val="00F52701"/>
    <w:rsid w:val="00F54FCB"/>
    <w:rsid w:val="00F5530D"/>
    <w:rsid w:val="00F55556"/>
    <w:rsid w:val="00F56511"/>
    <w:rsid w:val="00F60275"/>
    <w:rsid w:val="00F61502"/>
    <w:rsid w:val="00F6194E"/>
    <w:rsid w:val="00F623AC"/>
    <w:rsid w:val="00F62838"/>
    <w:rsid w:val="00F62CC6"/>
    <w:rsid w:val="00F62D75"/>
    <w:rsid w:val="00F62E84"/>
    <w:rsid w:val="00F63050"/>
    <w:rsid w:val="00F63060"/>
    <w:rsid w:val="00F636AD"/>
    <w:rsid w:val="00F63EE3"/>
    <w:rsid w:val="00F6412A"/>
    <w:rsid w:val="00F653D8"/>
    <w:rsid w:val="00F65893"/>
    <w:rsid w:val="00F66462"/>
    <w:rsid w:val="00F665B1"/>
    <w:rsid w:val="00F66A4A"/>
    <w:rsid w:val="00F66E7A"/>
    <w:rsid w:val="00F6715F"/>
    <w:rsid w:val="00F71E22"/>
    <w:rsid w:val="00F72142"/>
    <w:rsid w:val="00F722EC"/>
    <w:rsid w:val="00F72AE7"/>
    <w:rsid w:val="00F737A6"/>
    <w:rsid w:val="00F75F23"/>
    <w:rsid w:val="00F77A70"/>
    <w:rsid w:val="00F81141"/>
    <w:rsid w:val="00F8195F"/>
    <w:rsid w:val="00F833BA"/>
    <w:rsid w:val="00F8385E"/>
    <w:rsid w:val="00F84FD0"/>
    <w:rsid w:val="00F859A8"/>
    <w:rsid w:val="00F85D3A"/>
    <w:rsid w:val="00F86315"/>
    <w:rsid w:val="00F86718"/>
    <w:rsid w:val="00F86D87"/>
    <w:rsid w:val="00F9047F"/>
    <w:rsid w:val="00F90E42"/>
    <w:rsid w:val="00F9108B"/>
    <w:rsid w:val="00F9117B"/>
    <w:rsid w:val="00F91349"/>
    <w:rsid w:val="00F921C4"/>
    <w:rsid w:val="00F92544"/>
    <w:rsid w:val="00F93377"/>
    <w:rsid w:val="00F93A8A"/>
    <w:rsid w:val="00F95248"/>
    <w:rsid w:val="00F956A9"/>
    <w:rsid w:val="00F95CDA"/>
    <w:rsid w:val="00F95F62"/>
    <w:rsid w:val="00F963ED"/>
    <w:rsid w:val="00F966CF"/>
    <w:rsid w:val="00F96CAE"/>
    <w:rsid w:val="00F9703B"/>
    <w:rsid w:val="00F97C99"/>
    <w:rsid w:val="00F97DFE"/>
    <w:rsid w:val="00FA1055"/>
    <w:rsid w:val="00FA2295"/>
    <w:rsid w:val="00FA2BCB"/>
    <w:rsid w:val="00FA4DAC"/>
    <w:rsid w:val="00FA5E5A"/>
    <w:rsid w:val="00FA62C5"/>
    <w:rsid w:val="00FA662D"/>
    <w:rsid w:val="00FA6E42"/>
    <w:rsid w:val="00FA73B1"/>
    <w:rsid w:val="00FA7F2C"/>
    <w:rsid w:val="00FB04FF"/>
    <w:rsid w:val="00FB0CB9"/>
    <w:rsid w:val="00FB231D"/>
    <w:rsid w:val="00FB2FF1"/>
    <w:rsid w:val="00FB45F1"/>
    <w:rsid w:val="00FB4A72"/>
    <w:rsid w:val="00FB502C"/>
    <w:rsid w:val="00FB54E8"/>
    <w:rsid w:val="00FB6271"/>
    <w:rsid w:val="00FB6B32"/>
    <w:rsid w:val="00FB7054"/>
    <w:rsid w:val="00FB75E6"/>
    <w:rsid w:val="00FC0150"/>
    <w:rsid w:val="00FC1145"/>
    <w:rsid w:val="00FC1748"/>
    <w:rsid w:val="00FC17B7"/>
    <w:rsid w:val="00FC278C"/>
    <w:rsid w:val="00FC2CB7"/>
    <w:rsid w:val="00FC31A2"/>
    <w:rsid w:val="00FC35AE"/>
    <w:rsid w:val="00FC3A9C"/>
    <w:rsid w:val="00FC3BF8"/>
    <w:rsid w:val="00FC4090"/>
    <w:rsid w:val="00FC4A84"/>
    <w:rsid w:val="00FC4CB8"/>
    <w:rsid w:val="00FC4D9F"/>
    <w:rsid w:val="00FC55B4"/>
    <w:rsid w:val="00FC7254"/>
    <w:rsid w:val="00FC7DDD"/>
    <w:rsid w:val="00FD00E6"/>
    <w:rsid w:val="00FD0404"/>
    <w:rsid w:val="00FD0545"/>
    <w:rsid w:val="00FD05E0"/>
    <w:rsid w:val="00FD09A1"/>
    <w:rsid w:val="00FD1711"/>
    <w:rsid w:val="00FD1844"/>
    <w:rsid w:val="00FD2313"/>
    <w:rsid w:val="00FD2A7C"/>
    <w:rsid w:val="00FD2E5C"/>
    <w:rsid w:val="00FD4BAF"/>
    <w:rsid w:val="00FD5869"/>
    <w:rsid w:val="00FD59EB"/>
    <w:rsid w:val="00FD7299"/>
    <w:rsid w:val="00FE030D"/>
    <w:rsid w:val="00FE1EE1"/>
    <w:rsid w:val="00FE1FBE"/>
    <w:rsid w:val="00FE21CC"/>
    <w:rsid w:val="00FE3302"/>
    <w:rsid w:val="00FE3901"/>
    <w:rsid w:val="00FE39D3"/>
    <w:rsid w:val="00FE4128"/>
    <w:rsid w:val="00FE4BCE"/>
    <w:rsid w:val="00FE54AE"/>
    <w:rsid w:val="00FE576A"/>
    <w:rsid w:val="00FE6C3A"/>
    <w:rsid w:val="00FE797C"/>
    <w:rsid w:val="00FE7E79"/>
    <w:rsid w:val="00FF20ED"/>
    <w:rsid w:val="00FF2523"/>
    <w:rsid w:val="00FF303A"/>
    <w:rsid w:val="00FF34BF"/>
    <w:rsid w:val="00FF34EB"/>
    <w:rsid w:val="00FF3E7D"/>
    <w:rsid w:val="00FF55FC"/>
    <w:rsid w:val="00FF5B99"/>
    <w:rsid w:val="00FF5F51"/>
    <w:rsid w:val="00FF6317"/>
    <w:rsid w:val="00FF730C"/>
    <w:rsid w:val="00FF73F4"/>
    <w:rsid w:val="00FF744D"/>
    <w:rsid w:val="00FF7CE4"/>
    <w:rsid w:val="00FF7E39"/>
    <w:rsid w:val="012F0592"/>
    <w:rsid w:val="013008AD"/>
    <w:rsid w:val="01441610"/>
    <w:rsid w:val="01507BE3"/>
    <w:rsid w:val="016977F8"/>
    <w:rsid w:val="01AC7098"/>
    <w:rsid w:val="01CB7DA6"/>
    <w:rsid w:val="022E2F38"/>
    <w:rsid w:val="0242488A"/>
    <w:rsid w:val="02584FA2"/>
    <w:rsid w:val="0261662C"/>
    <w:rsid w:val="02872893"/>
    <w:rsid w:val="028916DF"/>
    <w:rsid w:val="02C87495"/>
    <w:rsid w:val="02EA018D"/>
    <w:rsid w:val="03333CE8"/>
    <w:rsid w:val="037B4D75"/>
    <w:rsid w:val="03B804CE"/>
    <w:rsid w:val="03B83922"/>
    <w:rsid w:val="03CE5F43"/>
    <w:rsid w:val="03F92894"/>
    <w:rsid w:val="04424AB9"/>
    <w:rsid w:val="044B1342"/>
    <w:rsid w:val="04593216"/>
    <w:rsid w:val="045B4E78"/>
    <w:rsid w:val="046F7D20"/>
    <w:rsid w:val="04890DCA"/>
    <w:rsid w:val="04A42103"/>
    <w:rsid w:val="04AA78AE"/>
    <w:rsid w:val="04C848E7"/>
    <w:rsid w:val="04FC43EA"/>
    <w:rsid w:val="0531475B"/>
    <w:rsid w:val="058A7C48"/>
    <w:rsid w:val="05B60A3D"/>
    <w:rsid w:val="05BB42A5"/>
    <w:rsid w:val="06170B88"/>
    <w:rsid w:val="061C7986"/>
    <w:rsid w:val="06444E5D"/>
    <w:rsid w:val="068648B3"/>
    <w:rsid w:val="071F6AB6"/>
    <w:rsid w:val="07271BBA"/>
    <w:rsid w:val="074C2972"/>
    <w:rsid w:val="077760FF"/>
    <w:rsid w:val="07854D3E"/>
    <w:rsid w:val="07AE5E09"/>
    <w:rsid w:val="07AF6614"/>
    <w:rsid w:val="07DF6AC8"/>
    <w:rsid w:val="07E92CA1"/>
    <w:rsid w:val="07F43F7F"/>
    <w:rsid w:val="08167176"/>
    <w:rsid w:val="08176554"/>
    <w:rsid w:val="083736AD"/>
    <w:rsid w:val="08757D62"/>
    <w:rsid w:val="08857F5E"/>
    <w:rsid w:val="08935B4E"/>
    <w:rsid w:val="08A3391C"/>
    <w:rsid w:val="08C015AE"/>
    <w:rsid w:val="08FF6B9F"/>
    <w:rsid w:val="09047D11"/>
    <w:rsid w:val="09221D1E"/>
    <w:rsid w:val="09300B06"/>
    <w:rsid w:val="099A5C14"/>
    <w:rsid w:val="09E80938"/>
    <w:rsid w:val="0A1B0489"/>
    <w:rsid w:val="0A7C4982"/>
    <w:rsid w:val="0A876E0E"/>
    <w:rsid w:val="0A99092D"/>
    <w:rsid w:val="0AAC68B2"/>
    <w:rsid w:val="0AD75113"/>
    <w:rsid w:val="0B06719F"/>
    <w:rsid w:val="0B3E1682"/>
    <w:rsid w:val="0B877EEF"/>
    <w:rsid w:val="0BD460C1"/>
    <w:rsid w:val="0BEE7C73"/>
    <w:rsid w:val="0BFD46F6"/>
    <w:rsid w:val="0C244597"/>
    <w:rsid w:val="0C405903"/>
    <w:rsid w:val="0C4D5AE9"/>
    <w:rsid w:val="0C6917DB"/>
    <w:rsid w:val="0C8A31BE"/>
    <w:rsid w:val="0CB9775F"/>
    <w:rsid w:val="0CEA4D94"/>
    <w:rsid w:val="0D5271C5"/>
    <w:rsid w:val="0D74196D"/>
    <w:rsid w:val="0D7445F2"/>
    <w:rsid w:val="0D844746"/>
    <w:rsid w:val="0E0978DC"/>
    <w:rsid w:val="0E2C0706"/>
    <w:rsid w:val="0E8042DE"/>
    <w:rsid w:val="0ED42FF6"/>
    <w:rsid w:val="0F4748CC"/>
    <w:rsid w:val="0F4C1A3E"/>
    <w:rsid w:val="0F852F17"/>
    <w:rsid w:val="0FFA6753"/>
    <w:rsid w:val="100A632E"/>
    <w:rsid w:val="10556DBB"/>
    <w:rsid w:val="105E1B2F"/>
    <w:rsid w:val="107D339A"/>
    <w:rsid w:val="108B1C98"/>
    <w:rsid w:val="10917484"/>
    <w:rsid w:val="10B20BA0"/>
    <w:rsid w:val="10CF32FA"/>
    <w:rsid w:val="10E6055C"/>
    <w:rsid w:val="11250248"/>
    <w:rsid w:val="11396AA9"/>
    <w:rsid w:val="116F4196"/>
    <w:rsid w:val="118F65E6"/>
    <w:rsid w:val="11A726EA"/>
    <w:rsid w:val="11BF4232"/>
    <w:rsid w:val="11D5735B"/>
    <w:rsid w:val="11E04BA3"/>
    <w:rsid w:val="11F2137A"/>
    <w:rsid w:val="120359E7"/>
    <w:rsid w:val="12221672"/>
    <w:rsid w:val="124F4F85"/>
    <w:rsid w:val="1251396E"/>
    <w:rsid w:val="12844EDE"/>
    <w:rsid w:val="128E6E68"/>
    <w:rsid w:val="12A42456"/>
    <w:rsid w:val="12C76FA1"/>
    <w:rsid w:val="13021765"/>
    <w:rsid w:val="13797419"/>
    <w:rsid w:val="13CF2BF1"/>
    <w:rsid w:val="13E10C14"/>
    <w:rsid w:val="14457E53"/>
    <w:rsid w:val="146541F4"/>
    <w:rsid w:val="146927B7"/>
    <w:rsid w:val="146C3A9E"/>
    <w:rsid w:val="14781BE1"/>
    <w:rsid w:val="14830684"/>
    <w:rsid w:val="14852627"/>
    <w:rsid w:val="14A81A2C"/>
    <w:rsid w:val="14CA30C5"/>
    <w:rsid w:val="151B6B0E"/>
    <w:rsid w:val="152E4A94"/>
    <w:rsid w:val="15485429"/>
    <w:rsid w:val="15581B10"/>
    <w:rsid w:val="15584D62"/>
    <w:rsid w:val="156305D3"/>
    <w:rsid w:val="159468C1"/>
    <w:rsid w:val="15A13265"/>
    <w:rsid w:val="15F07F9B"/>
    <w:rsid w:val="16070FF2"/>
    <w:rsid w:val="162E75CC"/>
    <w:rsid w:val="163D581C"/>
    <w:rsid w:val="16486A32"/>
    <w:rsid w:val="167732C6"/>
    <w:rsid w:val="16831814"/>
    <w:rsid w:val="16960B1A"/>
    <w:rsid w:val="16B44FCA"/>
    <w:rsid w:val="16B54D41"/>
    <w:rsid w:val="17810128"/>
    <w:rsid w:val="17B04912"/>
    <w:rsid w:val="180D03F9"/>
    <w:rsid w:val="18110D79"/>
    <w:rsid w:val="18371BCF"/>
    <w:rsid w:val="183E6889"/>
    <w:rsid w:val="183F27D6"/>
    <w:rsid w:val="18475712"/>
    <w:rsid w:val="184D4378"/>
    <w:rsid w:val="185837F3"/>
    <w:rsid w:val="1890336F"/>
    <w:rsid w:val="18E5190D"/>
    <w:rsid w:val="1902085A"/>
    <w:rsid w:val="19137A2B"/>
    <w:rsid w:val="192D1B70"/>
    <w:rsid w:val="193602F3"/>
    <w:rsid w:val="194B5311"/>
    <w:rsid w:val="1A2C5755"/>
    <w:rsid w:val="1A66082C"/>
    <w:rsid w:val="1A8A076A"/>
    <w:rsid w:val="1AA46C77"/>
    <w:rsid w:val="1AAC1914"/>
    <w:rsid w:val="1AC13CB4"/>
    <w:rsid w:val="1AEB2ADF"/>
    <w:rsid w:val="1B0B712D"/>
    <w:rsid w:val="1B2F50C2"/>
    <w:rsid w:val="1B3258BD"/>
    <w:rsid w:val="1B6E1CFE"/>
    <w:rsid w:val="1BB05AD7"/>
    <w:rsid w:val="1BBA4029"/>
    <w:rsid w:val="1BDA35CE"/>
    <w:rsid w:val="1BDF39B5"/>
    <w:rsid w:val="1BF91758"/>
    <w:rsid w:val="1C071B9A"/>
    <w:rsid w:val="1C1F5136"/>
    <w:rsid w:val="1C2A6C13"/>
    <w:rsid w:val="1C32637C"/>
    <w:rsid w:val="1C7865F4"/>
    <w:rsid w:val="1C93342E"/>
    <w:rsid w:val="1CF3211F"/>
    <w:rsid w:val="1D223418"/>
    <w:rsid w:val="1D3C1D18"/>
    <w:rsid w:val="1D5F1562"/>
    <w:rsid w:val="1E397A8E"/>
    <w:rsid w:val="1E546D62"/>
    <w:rsid w:val="1E611E9E"/>
    <w:rsid w:val="1EA4226D"/>
    <w:rsid w:val="1EB13D07"/>
    <w:rsid w:val="1F151917"/>
    <w:rsid w:val="1F647304"/>
    <w:rsid w:val="1F7874CC"/>
    <w:rsid w:val="1FF03598"/>
    <w:rsid w:val="2000527E"/>
    <w:rsid w:val="200707CA"/>
    <w:rsid w:val="202C6073"/>
    <w:rsid w:val="20623915"/>
    <w:rsid w:val="20640E2B"/>
    <w:rsid w:val="20A7394C"/>
    <w:rsid w:val="20AE2469"/>
    <w:rsid w:val="20FA3A7C"/>
    <w:rsid w:val="21427BDD"/>
    <w:rsid w:val="215A5A40"/>
    <w:rsid w:val="21690C01"/>
    <w:rsid w:val="2169755D"/>
    <w:rsid w:val="216D6944"/>
    <w:rsid w:val="217F5697"/>
    <w:rsid w:val="2186088C"/>
    <w:rsid w:val="21E40288"/>
    <w:rsid w:val="226E69EA"/>
    <w:rsid w:val="22D020EF"/>
    <w:rsid w:val="22E21F90"/>
    <w:rsid w:val="23024E6A"/>
    <w:rsid w:val="230909BA"/>
    <w:rsid w:val="23B33D59"/>
    <w:rsid w:val="23BD6FE3"/>
    <w:rsid w:val="24066BDB"/>
    <w:rsid w:val="24185B0A"/>
    <w:rsid w:val="242F317D"/>
    <w:rsid w:val="24307717"/>
    <w:rsid w:val="24375694"/>
    <w:rsid w:val="2441528D"/>
    <w:rsid w:val="24CB0F6C"/>
    <w:rsid w:val="24E76A0D"/>
    <w:rsid w:val="251315B0"/>
    <w:rsid w:val="253A4D8F"/>
    <w:rsid w:val="2578253B"/>
    <w:rsid w:val="26390566"/>
    <w:rsid w:val="26622435"/>
    <w:rsid w:val="2695133D"/>
    <w:rsid w:val="269D36EA"/>
    <w:rsid w:val="26CB39BB"/>
    <w:rsid w:val="26D04F06"/>
    <w:rsid w:val="26F611CB"/>
    <w:rsid w:val="26FA42A7"/>
    <w:rsid w:val="26FF7CF2"/>
    <w:rsid w:val="27572352"/>
    <w:rsid w:val="27636BFD"/>
    <w:rsid w:val="27C923FA"/>
    <w:rsid w:val="27CA2778"/>
    <w:rsid w:val="27D96267"/>
    <w:rsid w:val="27E52B67"/>
    <w:rsid w:val="28196C33"/>
    <w:rsid w:val="284877C3"/>
    <w:rsid w:val="286E7DB6"/>
    <w:rsid w:val="28921D3B"/>
    <w:rsid w:val="289635DB"/>
    <w:rsid w:val="289B4685"/>
    <w:rsid w:val="28EC66F2"/>
    <w:rsid w:val="28F6707C"/>
    <w:rsid w:val="29332221"/>
    <w:rsid w:val="294B0E8F"/>
    <w:rsid w:val="29B85DD6"/>
    <w:rsid w:val="29C67C5D"/>
    <w:rsid w:val="2A3C0125"/>
    <w:rsid w:val="2A41271B"/>
    <w:rsid w:val="2A5C08E2"/>
    <w:rsid w:val="2A6D1F3C"/>
    <w:rsid w:val="2A982C75"/>
    <w:rsid w:val="2AAF756C"/>
    <w:rsid w:val="2AE26294"/>
    <w:rsid w:val="2B0A0D5F"/>
    <w:rsid w:val="2B0A6FB1"/>
    <w:rsid w:val="2B1A4D1A"/>
    <w:rsid w:val="2B770F5A"/>
    <w:rsid w:val="2BB12905"/>
    <w:rsid w:val="2BB678F0"/>
    <w:rsid w:val="2BBB7FEE"/>
    <w:rsid w:val="2BD458DF"/>
    <w:rsid w:val="2C1B5E03"/>
    <w:rsid w:val="2C363DD6"/>
    <w:rsid w:val="2C4D2816"/>
    <w:rsid w:val="2C6E17C2"/>
    <w:rsid w:val="2CE23E3F"/>
    <w:rsid w:val="2CED5102"/>
    <w:rsid w:val="2D086DDE"/>
    <w:rsid w:val="2D1C2FCC"/>
    <w:rsid w:val="2D287CCB"/>
    <w:rsid w:val="2D3B6628"/>
    <w:rsid w:val="2D593A83"/>
    <w:rsid w:val="2DB94CBF"/>
    <w:rsid w:val="2DEA6D16"/>
    <w:rsid w:val="2E073C3E"/>
    <w:rsid w:val="2E2345C0"/>
    <w:rsid w:val="2E552640"/>
    <w:rsid w:val="2E81758A"/>
    <w:rsid w:val="2E864E16"/>
    <w:rsid w:val="2E8B0409"/>
    <w:rsid w:val="2EAB45AC"/>
    <w:rsid w:val="2EAC725D"/>
    <w:rsid w:val="2ECF44A5"/>
    <w:rsid w:val="2ED444DC"/>
    <w:rsid w:val="2EF77EBC"/>
    <w:rsid w:val="2F1F27E7"/>
    <w:rsid w:val="2F5D2517"/>
    <w:rsid w:val="2F77273B"/>
    <w:rsid w:val="2F947791"/>
    <w:rsid w:val="2FA35866"/>
    <w:rsid w:val="2FAD43AF"/>
    <w:rsid w:val="2FEA73B1"/>
    <w:rsid w:val="301E31CA"/>
    <w:rsid w:val="302703DE"/>
    <w:rsid w:val="305176FC"/>
    <w:rsid w:val="305B656C"/>
    <w:rsid w:val="306565A8"/>
    <w:rsid w:val="30867546"/>
    <w:rsid w:val="308D008F"/>
    <w:rsid w:val="30A13F14"/>
    <w:rsid w:val="30B86D5A"/>
    <w:rsid w:val="30EB7B64"/>
    <w:rsid w:val="311616B7"/>
    <w:rsid w:val="311635A4"/>
    <w:rsid w:val="314A2E3D"/>
    <w:rsid w:val="317C1016"/>
    <w:rsid w:val="317E4255"/>
    <w:rsid w:val="31AF08B2"/>
    <w:rsid w:val="31BE5A57"/>
    <w:rsid w:val="321262BB"/>
    <w:rsid w:val="321D36E4"/>
    <w:rsid w:val="322C3CB1"/>
    <w:rsid w:val="324803BF"/>
    <w:rsid w:val="324E68D7"/>
    <w:rsid w:val="324F657C"/>
    <w:rsid w:val="32617CF9"/>
    <w:rsid w:val="3267118D"/>
    <w:rsid w:val="326F125E"/>
    <w:rsid w:val="32892EB1"/>
    <w:rsid w:val="32DE43DC"/>
    <w:rsid w:val="32FC5E3D"/>
    <w:rsid w:val="33026C36"/>
    <w:rsid w:val="3338786A"/>
    <w:rsid w:val="33A61841"/>
    <w:rsid w:val="33D57510"/>
    <w:rsid w:val="341C5438"/>
    <w:rsid w:val="343A7312"/>
    <w:rsid w:val="34AC296B"/>
    <w:rsid w:val="34AD7C43"/>
    <w:rsid w:val="34B175E5"/>
    <w:rsid w:val="34C532EC"/>
    <w:rsid w:val="34CF1EBA"/>
    <w:rsid w:val="34D10B40"/>
    <w:rsid w:val="34FE0F19"/>
    <w:rsid w:val="351A4B0B"/>
    <w:rsid w:val="35503A69"/>
    <w:rsid w:val="355A4BCB"/>
    <w:rsid w:val="35F92A7F"/>
    <w:rsid w:val="36033620"/>
    <w:rsid w:val="362C0724"/>
    <w:rsid w:val="363B5FF4"/>
    <w:rsid w:val="36415851"/>
    <w:rsid w:val="36881B28"/>
    <w:rsid w:val="368D1470"/>
    <w:rsid w:val="369E774E"/>
    <w:rsid w:val="36F103D8"/>
    <w:rsid w:val="36F206C5"/>
    <w:rsid w:val="36F754CB"/>
    <w:rsid w:val="37307DA0"/>
    <w:rsid w:val="373B4B09"/>
    <w:rsid w:val="37503E1C"/>
    <w:rsid w:val="379C5435"/>
    <w:rsid w:val="37A0608F"/>
    <w:rsid w:val="37A3298A"/>
    <w:rsid w:val="37AD7642"/>
    <w:rsid w:val="37B84770"/>
    <w:rsid w:val="3869632E"/>
    <w:rsid w:val="3881180F"/>
    <w:rsid w:val="38C041FA"/>
    <w:rsid w:val="38C45433"/>
    <w:rsid w:val="38EA43E5"/>
    <w:rsid w:val="38EF4FE8"/>
    <w:rsid w:val="38F1355F"/>
    <w:rsid w:val="39131727"/>
    <w:rsid w:val="398C4714"/>
    <w:rsid w:val="39924489"/>
    <w:rsid w:val="39D864CC"/>
    <w:rsid w:val="3A0E0140"/>
    <w:rsid w:val="3A10210A"/>
    <w:rsid w:val="3A1148E4"/>
    <w:rsid w:val="3A1E0077"/>
    <w:rsid w:val="3A445910"/>
    <w:rsid w:val="3A58358D"/>
    <w:rsid w:val="3A6E6800"/>
    <w:rsid w:val="3A744447"/>
    <w:rsid w:val="3A955E78"/>
    <w:rsid w:val="3B0C2D30"/>
    <w:rsid w:val="3B384ABA"/>
    <w:rsid w:val="3B3B71D4"/>
    <w:rsid w:val="3B4159EF"/>
    <w:rsid w:val="3B4913EE"/>
    <w:rsid w:val="3B9C3C56"/>
    <w:rsid w:val="3BA448B8"/>
    <w:rsid w:val="3BA46855"/>
    <w:rsid w:val="3BFB473D"/>
    <w:rsid w:val="3C0C5DEA"/>
    <w:rsid w:val="3C133D5D"/>
    <w:rsid w:val="3C5A4D4F"/>
    <w:rsid w:val="3C843DDC"/>
    <w:rsid w:val="3C90308E"/>
    <w:rsid w:val="3D212F66"/>
    <w:rsid w:val="3E047890"/>
    <w:rsid w:val="3E23267B"/>
    <w:rsid w:val="3E397E91"/>
    <w:rsid w:val="3E6654DC"/>
    <w:rsid w:val="3EA02455"/>
    <w:rsid w:val="3EBC460F"/>
    <w:rsid w:val="3F0E30E4"/>
    <w:rsid w:val="3F192CEE"/>
    <w:rsid w:val="3F1E2BD3"/>
    <w:rsid w:val="3F2E0D61"/>
    <w:rsid w:val="3F3F385D"/>
    <w:rsid w:val="3F5A3584"/>
    <w:rsid w:val="3F95109A"/>
    <w:rsid w:val="40182300"/>
    <w:rsid w:val="402608A9"/>
    <w:rsid w:val="40347C30"/>
    <w:rsid w:val="404805B0"/>
    <w:rsid w:val="40553093"/>
    <w:rsid w:val="4062466F"/>
    <w:rsid w:val="406867FC"/>
    <w:rsid w:val="410F2BC7"/>
    <w:rsid w:val="41382143"/>
    <w:rsid w:val="415D3E87"/>
    <w:rsid w:val="416A7C0C"/>
    <w:rsid w:val="41A125BE"/>
    <w:rsid w:val="41B9412B"/>
    <w:rsid w:val="41F338E2"/>
    <w:rsid w:val="41F61BE6"/>
    <w:rsid w:val="42123976"/>
    <w:rsid w:val="4222402C"/>
    <w:rsid w:val="423C662F"/>
    <w:rsid w:val="42A22360"/>
    <w:rsid w:val="42AD363B"/>
    <w:rsid w:val="42CF4D42"/>
    <w:rsid w:val="42EF6E78"/>
    <w:rsid w:val="42FA6080"/>
    <w:rsid w:val="431B797C"/>
    <w:rsid w:val="4369402A"/>
    <w:rsid w:val="43A044FF"/>
    <w:rsid w:val="43BC29BB"/>
    <w:rsid w:val="43C375CF"/>
    <w:rsid w:val="440700DA"/>
    <w:rsid w:val="440920A4"/>
    <w:rsid w:val="440C7C17"/>
    <w:rsid w:val="441B5933"/>
    <w:rsid w:val="4437728D"/>
    <w:rsid w:val="44A345CA"/>
    <w:rsid w:val="44AB6CB7"/>
    <w:rsid w:val="44D45E49"/>
    <w:rsid w:val="45087E2A"/>
    <w:rsid w:val="4510795C"/>
    <w:rsid w:val="45246A6A"/>
    <w:rsid w:val="457269B9"/>
    <w:rsid w:val="457C3AB8"/>
    <w:rsid w:val="458A083B"/>
    <w:rsid w:val="45957228"/>
    <w:rsid w:val="45AD4C75"/>
    <w:rsid w:val="45B740BC"/>
    <w:rsid w:val="45CD1A52"/>
    <w:rsid w:val="45DF7C51"/>
    <w:rsid w:val="45EA25D7"/>
    <w:rsid w:val="45F34DBA"/>
    <w:rsid w:val="46272BB1"/>
    <w:rsid w:val="462730F4"/>
    <w:rsid w:val="463E35D3"/>
    <w:rsid w:val="46945F99"/>
    <w:rsid w:val="469F0A9E"/>
    <w:rsid w:val="46DD2912"/>
    <w:rsid w:val="46FE286B"/>
    <w:rsid w:val="47013507"/>
    <w:rsid w:val="471222D8"/>
    <w:rsid w:val="47876F78"/>
    <w:rsid w:val="47DC42D3"/>
    <w:rsid w:val="47E0689A"/>
    <w:rsid w:val="48137151"/>
    <w:rsid w:val="48362D3C"/>
    <w:rsid w:val="48584B86"/>
    <w:rsid w:val="48C6798F"/>
    <w:rsid w:val="48F67CAE"/>
    <w:rsid w:val="49417BEA"/>
    <w:rsid w:val="495529CB"/>
    <w:rsid w:val="49641663"/>
    <w:rsid w:val="498E430E"/>
    <w:rsid w:val="49AD3F05"/>
    <w:rsid w:val="49CB10B6"/>
    <w:rsid w:val="49DF6CF2"/>
    <w:rsid w:val="4A3C17D1"/>
    <w:rsid w:val="4A485FEA"/>
    <w:rsid w:val="4A5B4B7C"/>
    <w:rsid w:val="4A6A4F5B"/>
    <w:rsid w:val="4A6A7853"/>
    <w:rsid w:val="4A981A8C"/>
    <w:rsid w:val="4AA851DD"/>
    <w:rsid w:val="4AAB55ED"/>
    <w:rsid w:val="4ADA50A0"/>
    <w:rsid w:val="4AF453FE"/>
    <w:rsid w:val="4AF830AA"/>
    <w:rsid w:val="4B101F17"/>
    <w:rsid w:val="4B215F25"/>
    <w:rsid w:val="4B370F67"/>
    <w:rsid w:val="4BFF416F"/>
    <w:rsid w:val="4C7256B4"/>
    <w:rsid w:val="4C8C1745"/>
    <w:rsid w:val="4CA6280C"/>
    <w:rsid w:val="4D112219"/>
    <w:rsid w:val="4D2C6349"/>
    <w:rsid w:val="4D33538A"/>
    <w:rsid w:val="4D8C198E"/>
    <w:rsid w:val="4DAC7CC4"/>
    <w:rsid w:val="4DC86B2C"/>
    <w:rsid w:val="4DD334C5"/>
    <w:rsid w:val="4E08132D"/>
    <w:rsid w:val="4E6035DE"/>
    <w:rsid w:val="4E786A5D"/>
    <w:rsid w:val="4E7C3473"/>
    <w:rsid w:val="4E872543"/>
    <w:rsid w:val="4E877F54"/>
    <w:rsid w:val="4EA31290"/>
    <w:rsid w:val="4EBE43B5"/>
    <w:rsid w:val="4EC457D1"/>
    <w:rsid w:val="4ECD1894"/>
    <w:rsid w:val="4ED12A6C"/>
    <w:rsid w:val="4EE47996"/>
    <w:rsid w:val="4EEC684A"/>
    <w:rsid w:val="4EF3137B"/>
    <w:rsid w:val="4EFB27E3"/>
    <w:rsid w:val="4F061A38"/>
    <w:rsid w:val="4F0D1858"/>
    <w:rsid w:val="4F193610"/>
    <w:rsid w:val="4F1A6B83"/>
    <w:rsid w:val="4F227A85"/>
    <w:rsid w:val="4F2D5B11"/>
    <w:rsid w:val="4F541F42"/>
    <w:rsid w:val="4F56186E"/>
    <w:rsid w:val="4F972BDF"/>
    <w:rsid w:val="4FA9187C"/>
    <w:rsid w:val="4FDF7F23"/>
    <w:rsid w:val="5001505B"/>
    <w:rsid w:val="500C7BCA"/>
    <w:rsid w:val="501032F0"/>
    <w:rsid w:val="503D08D5"/>
    <w:rsid w:val="503F0989"/>
    <w:rsid w:val="50445920"/>
    <w:rsid w:val="507B0D9C"/>
    <w:rsid w:val="507B569F"/>
    <w:rsid w:val="508D3603"/>
    <w:rsid w:val="509A3E8A"/>
    <w:rsid w:val="509E597B"/>
    <w:rsid w:val="50BC788A"/>
    <w:rsid w:val="50BD0822"/>
    <w:rsid w:val="51080F28"/>
    <w:rsid w:val="512A18AC"/>
    <w:rsid w:val="514A6C9C"/>
    <w:rsid w:val="51595CED"/>
    <w:rsid w:val="51E71F72"/>
    <w:rsid w:val="51FA4121"/>
    <w:rsid w:val="522105B9"/>
    <w:rsid w:val="523346C4"/>
    <w:rsid w:val="524411E1"/>
    <w:rsid w:val="525756AD"/>
    <w:rsid w:val="527341BE"/>
    <w:rsid w:val="531E2D4A"/>
    <w:rsid w:val="534E1882"/>
    <w:rsid w:val="537137C2"/>
    <w:rsid w:val="537D3F15"/>
    <w:rsid w:val="53842910"/>
    <w:rsid w:val="5400668D"/>
    <w:rsid w:val="5402266C"/>
    <w:rsid w:val="540A687B"/>
    <w:rsid w:val="540F03E3"/>
    <w:rsid w:val="54190C98"/>
    <w:rsid w:val="544F0E8A"/>
    <w:rsid w:val="54BE60BB"/>
    <w:rsid w:val="54E03154"/>
    <w:rsid w:val="550F3998"/>
    <w:rsid w:val="552C4D7E"/>
    <w:rsid w:val="55483723"/>
    <w:rsid w:val="558B219B"/>
    <w:rsid w:val="55B94FAC"/>
    <w:rsid w:val="55C55C7D"/>
    <w:rsid w:val="561B734D"/>
    <w:rsid w:val="56765F84"/>
    <w:rsid w:val="568B3D3E"/>
    <w:rsid w:val="56C3235F"/>
    <w:rsid w:val="56DA167E"/>
    <w:rsid w:val="56EB76CA"/>
    <w:rsid w:val="56F86B2C"/>
    <w:rsid w:val="570B1838"/>
    <w:rsid w:val="573C40E7"/>
    <w:rsid w:val="574C75B3"/>
    <w:rsid w:val="57AC3673"/>
    <w:rsid w:val="57C739B1"/>
    <w:rsid w:val="57CB3541"/>
    <w:rsid w:val="57DD5B33"/>
    <w:rsid w:val="580B2506"/>
    <w:rsid w:val="580E15DF"/>
    <w:rsid w:val="58457A63"/>
    <w:rsid w:val="584658BF"/>
    <w:rsid w:val="58570B0E"/>
    <w:rsid w:val="587F6039"/>
    <w:rsid w:val="58A46B3B"/>
    <w:rsid w:val="58F11160"/>
    <w:rsid w:val="591A0E47"/>
    <w:rsid w:val="592B6AA1"/>
    <w:rsid w:val="594613D7"/>
    <w:rsid w:val="596A1D3C"/>
    <w:rsid w:val="598F2520"/>
    <w:rsid w:val="59971CDB"/>
    <w:rsid w:val="59C71F45"/>
    <w:rsid w:val="59EC6FE0"/>
    <w:rsid w:val="5A460000"/>
    <w:rsid w:val="5A556AA4"/>
    <w:rsid w:val="5A5A2ADE"/>
    <w:rsid w:val="5ABA15AB"/>
    <w:rsid w:val="5AC172E2"/>
    <w:rsid w:val="5B6F42D3"/>
    <w:rsid w:val="5B727DC6"/>
    <w:rsid w:val="5B8F0C89"/>
    <w:rsid w:val="5BA2787B"/>
    <w:rsid w:val="5BB24467"/>
    <w:rsid w:val="5BBE4718"/>
    <w:rsid w:val="5C2018E1"/>
    <w:rsid w:val="5C226553"/>
    <w:rsid w:val="5C627823"/>
    <w:rsid w:val="5CB624E6"/>
    <w:rsid w:val="5CBF2F7C"/>
    <w:rsid w:val="5CC2116C"/>
    <w:rsid w:val="5CD27568"/>
    <w:rsid w:val="5CF67EBC"/>
    <w:rsid w:val="5D1812AB"/>
    <w:rsid w:val="5D793204"/>
    <w:rsid w:val="5D7A1DA0"/>
    <w:rsid w:val="5D92094E"/>
    <w:rsid w:val="5DC82230"/>
    <w:rsid w:val="5DCA5FA9"/>
    <w:rsid w:val="5DF10AEF"/>
    <w:rsid w:val="5DF748C4"/>
    <w:rsid w:val="5E055B60"/>
    <w:rsid w:val="5E1963C1"/>
    <w:rsid w:val="5E73661F"/>
    <w:rsid w:val="5E873AA5"/>
    <w:rsid w:val="5E960581"/>
    <w:rsid w:val="5E983D2A"/>
    <w:rsid w:val="5EBA2775"/>
    <w:rsid w:val="5ECC72E8"/>
    <w:rsid w:val="5F081842"/>
    <w:rsid w:val="5F245B8C"/>
    <w:rsid w:val="5F446E73"/>
    <w:rsid w:val="5F6D308F"/>
    <w:rsid w:val="5F765DBD"/>
    <w:rsid w:val="5F8A363A"/>
    <w:rsid w:val="5F963646"/>
    <w:rsid w:val="5FB8748A"/>
    <w:rsid w:val="5FC058B5"/>
    <w:rsid w:val="5FC35C9F"/>
    <w:rsid w:val="609D30C7"/>
    <w:rsid w:val="60A83A2C"/>
    <w:rsid w:val="60C75B40"/>
    <w:rsid w:val="612A5A76"/>
    <w:rsid w:val="61324F57"/>
    <w:rsid w:val="61483DB4"/>
    <w:rsid w:val="6187214C"/>
    <w:rsid w:val="618A6D64"/>
    <w:rsid w:val="61AE6CD8"/>
    <w:rsid w:val="61DB0961"/>
    <w:rsid w:val="620267C4"/>
    <w:rsid w:val="620F6680"/>
    <w:rsid w:val="62FD41E2"/>
    <w:rsid w:val="631D0ABD"/>
    <w:rsid w:val="632A126B"/>
    <w:rsid w:val="632B4F65"/>
    <w:rsid w:val="63886976"/>
    <w:rsid w:val="638E45A8"/>
    <w:rsid w:val="63D61FE2"/>
    <w:rsid w:val="64104931"/>
    <w:rsid w:val="641F2BFD"/>
    <w:rsid w:val="643B6378"/>
    <w:rsid w:val="64467B06"/>
    <w:rsid w:val="64A82DBC"/>
    <w:rsid w:val="64D35E63"/>
    <w:rsid w:val="6539478F"/>
    <w:rsid w:val="654C6425"/>
    <w:rsid w:val="6552141E"/>
    <w:rsid w:val="658761D1"/>
    <w:rsid w:val="65930D8B"/>
    <w:rsid w:val="659964EC"/>
    <w:rsid w:val="660D2ED6"/>
    <w:rsid w:val="662A0B8C"/>
    <w:rsid w:val="663B19CC"/>
    <w:rsid w:val="664B1FAF"/>
    <w:rsid w:val="664D29AB"/>
    <w:rsid w:val="666D6347"/>
    <w:rsid w:val="668B18AD"/>
    <w:rsid w:val="66C92CEA"/>
    <w:rsid w:val="66D165FA"/>
    <w:rsid w:val="673B0CD9"/>
    <w:rsid w:val="67425F7F"/>
    <w:rsid w:val="67797ED0"/>
    <w:rsid w:val="67CA4DF7"/>
    <w:rsid w:val="67E61530"/>
    <w:rsid w:val="67E73D7B"/>
    <w:rsid w:val="680A2697"/>
    <w:rsid w:val="688C0B60"/>
    <w:rsid w:val="68AF0B0A"/>
    <w:rsid w:val="68C47C0A"/>
    <w:rsid w:val="69006D22"/>
    <w:rsid w:val="699E6D42"/>
    <w:rsid w:val="699F27B8"/>
    <w:rsid w:val="69A2427D"/>
    <w:rsid w:val="69EC58DB"/>
    <w:rsid w:val="6A2904FB"/>
    <w:rsid w:val="6A3078B4"/>
    <w:rsid w:val="6A630EB6"/>
    <w:rsid w:val="6A7D0E05"/>
    <w:rsid w:val="6AD56708"/>
    <w:rsid w:val="6AE93771"/>
    <w:rsid w:val="6B036E28"/>
    <w:rsid w:val="6B461EDA"/>
    <w:rsid w:val="6B621F16"/>
    <w:rsid w:val="6B822BB4"/>
    <w:rsid w:val="6B8E71F0"/>
    <w:rsid w:val="6BA74F5C"/>
    <w:rsid w:val="6BBB5DF6"/>
    <w:rsid w:val="6C3526BC"/>
    <w:rsid w:val="6C4A487A"/>
    <w:rsid w:val="6CA96856"/>
    <w:rsid w:val="6CDE381E"/>
    <w:rsid w:val="6D084475"/>
    <w:rsid w:val="6D205BE5"/>
    <w:rsid w:val="6D27361E"/>
    <w:rsid w:val="6D6A7C9B"/>
    <w:rsid w:val="6D6F68CC"/>
    <w:rsid w:val="6D7E290C"/>
    <w:rsid w:val="6D902F7B"/>
    <w:rsid w:val="6DC35A97"/>
    <w:rsid w:val="6E027099"/>
    <w:rsid w:val="6E6C5386"/>
    <w:rsid w:val="6E7B1DCF"/>
    <w:rsid w:val="6E853722"/>
    <w:rsid w:val="6E8724E0"/>
    <w:rsid w:val="6EA14231"/>
    <w:rsid w:val="6EB2725B"/>
    <w:rsid w:val="6F035AD3"/>
    <w:rsid w:val="6F604ED0"/>
    <w:rsid w:val="6F883A05"/>
    <w:rsid w:val="6F8D5DC1"/>
    <w:rsid w:val="6FDF5F2E"/>
    <w:rsid w:val="700A7061"/>
    <w:rsid w:val="701D01BA"/>
    <w:rsid w:val="70425E72"/>
    <w:rsid w:val="70523192"/>
    <w:rsid w:val="707513EF"/>
    <w:rsid w:val="709656BA"/>
    <w:rsid w:val="70B630A3"/>
    <w:rsid w:val="70B825DE"/>
    <w:rsid w:val="70D54F38"/>
    <w:rsid w:val="70DB7FFA"/>
    <w:rsid w:val="70F533F2"/>
    <w:rsid w:val="717B22BB"/>
    <w:rsid w:val="71877958"/>
    <w:rsid w:val="71E165F8"/>
    <w:rsid w:val="71F154B8"/>
    <w:rsid w:val="7217238C"/>
    <w:rsid w:val="72451F40"/>
    <w:rsid w:val="72C014AC"/>
    <w:rsid w:val="72C25048"/>
    <w:rsid w:val="73093E8D"/>
    <w:rsid w:val="731F7BD0"/>
    <w:rsid w:val="73520AC2"/>
    <w:rsid w:val="73572D10"/>
    <w:rsid w:val="7366631C"/>
    <w:rsid w:val="736A6B84"/>
    <w:rsid w:val="737F3350"/>
    <w:rsid w:val="73864192"/>
    <w:rsid w:val="7390387C"/>
    <w:rsid w:val="739C50DF"/>
    <w:rsid w:val="73A64149"/>
    <w:rsid w:val="73BF737E"/>
    <w:rsid w:val="73C21EF7"/>
    <w:rsid w:val="73F36146"/>
    <w:rsid w:val="73FC619A"/>
    <w:rsid w:val="740873D5"/>
    <w:rsid w:val="74685786"/>
    <w:rsid w:val="746C1710"/>
    <w:rsid w:val="748353D5"/>
    <w:rsid w:val="74B32C54"/>
    <w:rsid w:val="74E120FE"/>
    <w:rsid w:val="74F51A56"/>
    <w:rsid w:val="74F6547D"/>
    <w:rsid w:val="74FC2C3C"/>
    <w:rsid w:val="75396F16"/>
    <w:rsid w:val="756B3191"/>
    <w:rsid w:val="75B117F1"/>
    <w:rsid w:val="75CC6819"/>
    <w:rsid w:val="75D36466"/>
    <w:rsid w:val="75DF2239"/>
    <w:rsid w:val="7605245B"/>
    <w:rsid w:val="76074678"/>
    <w:rsid w:val="76446D4F"/>
    <w:rsid w:val="765E152C"/>
    <w:rsid w:val="76A23326"/>
    <w:rsid w:val="76A30E4A"/>
    <w:rsid w:val="76E77774"/>
    <w:rsid w:val="772773FF"/>
    <w:rsid w:val="77521091"/>
    <w:rsid w:val="77802BFB"/>
    <w:rsid w:val="778925D9"/>
    <w:rsid w:val="77B16ECC"/>
    <w:rsid w:val="77C40C7F"/>
    <w:rsid w:val="77E65EAF"/>
    <w:rsid w:val="785D34B0"/>
    <w:rsid w:val="78664508"/>
    <w:rsid w:val="789F56CD"/>
    <w:rsid w:val="78D244C8"/>
    <w:rsid w:val="78DC3C0E"/>
    <w:rsid w:val="78E732DC"/>
    <w:rsid w:val="78EB5000"/>
    <w:rsid w:val="78F04FE3"/>
    <w:rsid w:val="790E6B85"/>
    <w:rsid w:val="79156E0F"/>
    <w:rsid w:val="79186444"/>
    <w:rsid w:val="79197AE3"/>
    <w:rsid w:val="793842B6"/>
    <w:rsid w:val="793B65E2"/>
    <w:rsid w:val="795B0744"/>
    <w:rsid w:val="79673FEC"/>
    <w:rsid w:val="797624C1"/>
    <w:rsid w:val="797E494A"/>
    <w:rsid w:val="79A36C32"/>
    <w:rsid w:val="79AB72B2"/>
    <w:rsid w:val="79BA116F"/>
    <w:rsid w:val="79D64111"/>
    <w:rsid w:val="79EB757B"/>
    <w:rsid w:val="79F57518"/>
    <w:rsid w:val="79FA786D"/>
    <w:rsid w:val="79FC2D37"/>
    <w:rsid w:val="7A4305F6"/>
    <w:rsid w:val="7ADD6C4E"/>
    <w:rsid w:val="7ADF5498"/>
    <w:rsid w:val="7AE1571E"/>
    <w:rsid w:val="7AE5221C"/>
    <w:rsid w:val="7B0C77A9"/>
    <w:rsid w:val="7B8B7049"/>
    <w:rsid w:val="7BAE3C1E"/>
    <w:rsid w:val="7BFD6BC6"/>
    <w:rsid w:val="7C437641"/>
    <w:rsid w:val="7C63164A"/>
    <w:rsid w:val="7CA379F9"/>
    <w:rsid w:val="7D0D3E75"/>
    <w:rsid w:val="7D160C14"/>
    <w:rsid w:val="7D292894"/>
    <w:rsid w:val="7D2C6836"/>
    <w:rsid w:val="7D4D60FC"/>
    <w:rsid w:val="7D5B1232"/>
    <w:rsid w:val="7D7F4B38"/>
    <w:rsid w:val="7DF32EA2"/>
    <w:rsid w:val="7DF852F6"/>
    <w:rsid w:val="7E220719"/>
    <w:rsid w:val="7E7C4736"/>
    <w:rsid w:val="7EA2736E"/>
    <w:rsid w:val="7EB607A4"/>
    <w:rsid w:val="7EED5B43"/>
    <w:rsid w:val="7EEF71C5"/>
    <w:rsid w:val="7F1B51E1"/>
    <w:rsid w:val="7F250E39"/>
    <w:rsid w:val="7F2971D5"/>
    <w:rsid w:val="7F467092"/>
    <w:rsid w:val="7F4E790C"/>
    <w:rsid w:val="7F5476B9"/>
    <w:rsid w:val="7F7917BB"/>
    <w:rsid w:val="7F7C4491"/>
    <w:rsid w:val="7FA56C2F"/>
    <w:rsid w:val="7FAE3BAE"/>
    <w:rsid w:val="7FD1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link w:val="41"/>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51"/>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52"/>
    <w:semiHidden/>
    <w:unhideWhenUsed/>
    <w:qFormat/>
    <w:uiPriority w:val="99"/>
    <w:rPr>
      <w:b/>
      <w:bCs/>
    </w:rPr>
  </w:style>
  <w:style w:type="table" w:styleId="29">
    <w:name w:val="Table Grid"/>
    <w:basedOn w:val="28"/>
    <w:autoRedefine/>
    <w:qFormat/>
    <w:uiPriority w:val="0"/>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blStylePr w:type="firstRow">
      <w:tcPr>
        <w:tcBorders>
          <w:top w:val="single" w:color="auto" w:sz="12" w:space="0"/>
          <w:left w:val="single" w:color="auto" w:sz="12" w:space="0"/>
          <w:bottom w:val="single" w:color="auto" w:sz="12" w:space="0"/>
          <w:right w:val="single" w:color="auto" w:sz="12" w:space="0"/>
          <w:insideH w:val="nil"/>
          <w:insideV w:val="single" w:sz="4" w:space="0"/>
          <w:tl2br w:val="nil"/>
          <w:tr2bl w:val="nil"/>
        </w:tcBorders>
      </w:tcPr>
    </w:tblStyle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字符"/>
    <w:link w:val="2"/>
    <w:autoRedefine/>
    <w:qFormat/>
    <w:uiPriority w:val="0"/>
    <w:rPr>
      <w:rFonts w:ascii="Times New Roman" w:hAnsi="Times New Roman" w:eastAsia="宋体" w:cs="Times New Roman"/>
      <w:b/>
      <w:bCs/>
      <w:kern w:val="44"/>
      <w:sz w:val="44"/>
      <w:szCs w:val="44"/>
    </w:rPr>
  </w:style>
  <w:style w:type="character" w:customStyle="1" w:styleId="38">
    <w:name w:val="标题 2 字符"/>
    <w:link w:val="3"/>
    <w:autoRedefine/>
    <w:qFormat/>
    <w:uiPriority w:val="0"/>
    <w:rPr>
      <w:rFonts w:ascii="Arial" w:hAnsi="Arial" w:eastAsia="黑体" w:cs="Times New Roman"/>
      <w:b/>
      <w:bCs/>
      <w:sz w:val="32"/>
      <w:szCs w:val="32"/>
    </w:rPr>
  </w:style>
  <w:style w:type="character" w:customStyle="1" w:styleId="39">
    <w:name w:val="标题 3 字符"/>
    <w:link w:val="4"/>
    <w:autoRedefine/>
    <w:qFormat/>
    <w:uiPriority w:val="0"/>
    <w:rPr>
      <w:rFonts w:ascii="Times New Roman" w:hAnsi="Times New Roman" w:eastAsia="宋体" w:cs="Times New Roman"/>
      <w:b/>
      <w:bCs/>
      <w:sz w:val="32"/>
      <w:szCs w:val="32"/>
    </w:rPr>
  </w:style>
  <w:style w:type="character" w:customStyle="1" w:styleId="40">
    <w:name w:val="标题 4 字符"/>
    <w:link w:val="5"/>
    <w:autoRedefine/>
    <w:qFormat/>
    <w:uiPriority w:val="0"/>
    <w:rPr>
      <w:rFonts w:ascii="Arial" w:hAnsi="Arial" w:eastAsia="黑体" w:cs="Times New Roman"/>
      <w:b/>
      <w:bCs/>
      <w:sz w:val="28"/>
      <w:szCs w:val="28"/>
    </w:rPr>
  </w:style>
  <w:style w:type="character" w:customStyle="1" w:styleId="41">
    <w:name w:val="标题 5 字符"/>
    <w:link w:val="6"/>
    <w:autoRedefine/>
    <w:qFormat/>
    <w:uiPriority w:val="0"/>
    <w:rPr>
      <w:rFonts w:ascii="Times New Roman" w:hAnsi="Times New Roman" w:eastAsia="宋体" w:cs="Times New Roman"/>
      <w:b/>
      <w:bCs/>
      <w:sz w:val="28"/>
      <w:szCs w:val="28"/>
    </w:rPr>
  </w:style>
  <w:style w:type="character" w:customStyle="1" w:styleId="42">
    <w:name w:val="标题 6 字符"/>
    <w:link w:val="7"/>
    <w:autoRedefine/>
    <w:qFormat/>
    <w:uiPriority w:val="0"/>
    <w:rPr>
      <w:rFonts w:ascii="Arial" w:hAnsi="Arial" w:eastAsia="黑体" w:cs="Times New Roman"/>
      <w:b/>
      <w:bCs/>
      <w:sz w:val="24"/>
      <w:szCs w:val="24"/>
    </w:rPr>
  </w:style>
  <w:style w:type="character" w:customStyle="1" w:styleId="43">
    <w:name w:val="标题 7 字符"/>
    <w:link w:val="8"/>
    <w:autoRedefine/>
    <w:qFormat/>
    <w:uiPriority w:val="0"/>
    <w:rPr>
      <w:rFonts w:ascii="Times New Roman" w:hAnsi="Times New Roman" w:eastAsia="宋体" w:cs="Times New Roman"/>
      <w:b/>
      <w:bCs/>
      <w:sz w:val="24"/>
      <w:szCs w:val="24"/>
    </w:rPr>
  </w:style>
  <w:style w:type="character" w:customStyle="1" w:styleId="44">
    <w:name w:val="标题 8 字符"/>
    <w:link w:val="9"/>
    <w:autoRedefine/>
    <w:qFormat/>
    <w:uiPriority w:val="0"/>
    <w:rPr>
      <w:rFonts w:ascii="Arial" w:hAnsi="Arial" w:eastAsia="黑体" w:cs="Times New Roman"/>
      <w:sz w:val="24"/>
      <w:szCs w:val="24"/>
    </w:rPr>
  </w:style>
  <w:style w:type="character" w:customStyle="1" w:styleId="45">
    <w:name w:val="标题 9 字符"/>
    <w:link w:val="10"/>
    <w:autoRedefine/>
    <w:qFormat/>
    <w:uiPriority w:val="0"/>
    <w:rPr>
      <w:rFonts w:ascii="Arial" w:hAnsi="Arial" w:eastAsia="黑体" w:cs="Times New Roman"/>
      <w:szCs w:val="21"/>
    </w:rPr>
  </w:style>
  <w:style w:type="character" w:customStyle="1" w:styleId="46">
    <w:name w:val="页眉 字符"/>
    <w:link w:val="19"/>
    <w:autoRedefine/>
    <w:qFormat/>
    <w:uiPriority w:val="99"/>
    <w:rPr>
      <w:rFonts w:ascii="Times New Roman" w:hAnsi="Times New Roman" w:eastAsia="宋体" w:cs="Times New Roman"/>
      <w:sz w:val="18"/>
      <w:szCs w:val="18"/>
    </w:rPr>
  </w:style>
  <w:style w:type="character" w:customStyle="1" w:styleId="47">
    <w:name w:val="页脚 字符"/>
    <w:link w:val="18"/>
    <w:autoRedefine/>
    <w:qFormat/>
    <w:uiPriority w:val="99"/>
    <w:rPr>
      <w:rFonts w:ascii="宋体" w:hAnsi="Times New Roman" w:eastAsia="宋体" w:cs="Times New Roman"/>
      <w:sz w:val="18"/>
      <w:szCs w:val="18"/>
    </w:rPr>
  </w:style>
  <w:style w:type="character" w:customStyle="1" w:styleId="48">
    <w:name w:val="批注框文本 字符"/>
    <w:link w:val="17"/>
    <w:autoRedefine/>
    <w:semiHidden/>
    <w:qFormat/>
    <w:uiPriority w:val="99"/>
    <w:rPr>
      <w:sz w:val="18"/>
      <w:szCs w:val="18"/>
    </w:rPr>
  </w:style>
  <w:style w:type="paragraph" w:styleId="49">
    <w:name w:val="Quote"/>
    <w:basedOn w:val="1"/>
    <w:next w:val="1"/>
    <w:link w:val="50"/>
    <w:autoRedefine/>
    <w:qFormat/>
    <w:uiPriority w:val="29"/>
    <w:rPr>
      <w:i/>
      <w:iCs/>
      <w:color w:val="000000"/>
    </w:rPr>
  </w:style>
  <w:style w:type="character" w:customStyle="1" w:styleId="50">
    <w:name w:val="引用 字符"/>
    <w:link w:val="49"/>
    <w:autoRedefine/>
    <w:qFormat/>
    <w:uiPriority w:val="29"/>
    <w:rPr>
      <w:i/>
      <w:iCs/>
      <w:color w:val="000000"/>
    </w:rPr>
  </w:style>
  <w:style w:type="character" w:customStyle="1" w:styleId="51">
    <w:name w:val="标题 字符"/>
    <w:link w:val="26"/>
    <w:autoRedefine/>
    <w:qFormat/>
    <w:uiPriority w:val="0"/>
    <w:rPr>
      <w:rFonts w:ascii="Arial" w:hAnsi="Arial" w:eastAsia="宋体" w:cs="Arial"/>
      <w:b/>
      <w:bCs/>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pPr>
    <w:rPr>
      <w:rFonts w:ascii="Times New Roman" w:hAnsi="Times New Roman" w:eastAsia="宋体" w:cs="Times New Roman"/>
      <w:color w:val="000000"/>
      <w:sz w:val="21"/>
      <w:szCs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autoRedefine/>
    <w:qFormat/>
    <w:uiPriority w:val="0"/>
    <w:rPr>
      <w:rFonts w:ascii="Times New Roman" w:hAnsi="Times New Roman" w:eastAsia="宋体" w:cs="Times New Roman"/>
      <w:szCs w:val="20"/>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pPr>
  </w:style>
  <w:style w:type="paragraph" w:customStyle="1" w:styleId="94">
    <w:name w:val="标准文件_目录标题"/>
    <w:basedOn w:val="1"/>
    <w:autoRedefine/>
    <w:qFormat/>
    <w:uiPriority w:val="0"/>
    <w:pPr>
      <w:spacing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ind w:left="0" w:firstLine="200"/>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autoRedefine/>
    <w:semiHidden/>
    <w:qFormat/>
    <w:uiPriority w:val="0"/>
    <w:rPr>
      <w:rFonts w:ascii="宋体" w:hAnsi="Times New Roman" w:eastAsia="宋体" w:cs="Times New Roman"/>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Lines="100" w:afterLines="100"/>
      <w:ind w:left="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tabs>
        <w:tab w:val="left" w:pos="0"/>
      </w:tabs>
      <w:spacing w:before="156" w:beforeLines="50" w:after="156"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19"/>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19"/>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19"/>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19"/>
      </w:numPr>
      <w:adjustRightInd/>
    </w:pPr>
    <w:rPr>
      <w:szCs w:val="24"/>
    </w:rPr>
  </w:style>
  <w:style w:type="paragraph" w:customStyle="1" w:styleId="162">
    <w:name w:val="一级无标题条"/>
    <w:basedOn w:val="1"/>
    <w:autoRedefine/>
    <w:qFormat/>
    <w:uiPriority w:val="0"/>
    <w:pPr>
      <w:numPr>
        <w:ilvl w:val="2"/>
        <w:numId w:val="19"/>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Lines="0" w:afterLines="0"/>
      <w:outlineLvl w:val="9"/>
    </w:pPr>
    <w:rPr>
      <w:rFonts w:ascii="宋体" w:eastAsia="宋体"/>
    </w:rPr>
  </w:style>
  <w:style w:type="paragraph" w:customStyle="1" w:styleId="166">
    <w:name w:val="标准文件_五级无标题"/>
    <w:basedOn w:val="106"/>
    <w:autoRedefine/>
    <w:qFormat/>
    <w:uiPriority w:val="0"/>
    <w:pPr>
      <w:spacing w:beforeLines="0" w:afterLines="0"/>
      <w:outlineLvl w:val="9"/>
    </w:pPr>
    <w:rPr>
      <w:rFonts w:ascii="宋体" w:eastAsia="宋体"/>
    </w:rPr>
  </w:style>
  <w:style w:type="paragraph" w:customStyle="1" w:styleId="167">
    <w:name w:val="标准文件_三级无标题"/>
    <w:basedOn w:val="97"/>
    <w:autoRedefine/>
    <w:qFormat/>
    <w:uiPriority w:val="0"/>
    <w:pPr>
      <w:spacing w:beforeLines="0" w:afterLines="0"/>
      <w:outlineLvl w:val="9"/>
    </w:pPr>
    <w:rPr>
      <w:rFonts w:ascii="宋体" w:eastAsia="宋体"/>
    </w:rPr>
  </w:style>
  <w:style w:type="paragraph" w:customStyle="1" w:styleId="168">
    <w:name w:val="标准文件_二级无标题"/>
    <w:basedOn w:val="68"/>
    <w:autoRedefine/>
    <w:qFormat/>
    <w:uiPriority w:val="0"/>
    <w:pPr>
      <w:spacing w:beforeLines="0" w:afterLines="0"/>
      <w:outlineLvl w:val="9"/>
    </w:pPr>
    <w:rPr>
      <w:rFonts w:ascii="Times New Roman"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2"/>
      </w:numPr>
      <w:ind w:firstLine="0"/>
    </w:pPr>
    <w:rPr>
      <w:rFonts w:cs="Arial"/>
      <w:szCs w:val="28"/>
    </w:rPr>
  </w:style>
  <w:style w:type="paragraph" w:customStyle="1" w:styleId="172">
    <w:name w:val="标准文件_小写罗马数字编号列项"/>
    <w:basedOn w:val="59"/>
    <w:autoRedefine/>
    <w:qFormat/>
    <w:uiPriority w:val="0"/>
    <w:pPr>
      <w:numPr>
        <w:ilvl w:val="0"/>
        <w:numId w:val="23"/>
      </w:numPr>
      <w:ind w:firstLine="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4"/>
      </w:numPr>
      <w:adjustRightInd/>
      <w:spacing w:line="240" w:lineRule="auto"/>
      <w:ind w:left="783"/>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jc w:val="center"/>
    </w:pPr>
    <w:rPr>
      <w:sz w:val="18"/>
    </w:rPr>
  </w:style>
  <w:style w:type="paragraph" w:customStyle="1" w:styleId="182">
    <w:name w:val="标准文件_注："/>
    <w:next w:val="59"/>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pPr>
      <w:ind w:firstLine="420"/>
    </w:pPr>
    <w:rPr>
      <w:sz w:val="18"/>
    </w:rPr>
  </w:style>
  <w:style w:type="paragraph" w:customStyle="1" w:styleId="186">
    <w:name w:val="标准文件_示例×："/>
    <w:basedOn w:val="1"/>
    <w:next w:val="185"/>
    <w:autoRedefine/>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Times New Roman" w:hAnsi="Times New Roman"/>
      <w:color w:val="000000"/>
      <w:sz w:val="21"/>
      <w:szCs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autoRedefine/>
    <w:qFormat/>
    <w:uiPriority w:val="0"/>
    <w:pPr>
      <w:numPr>
        <w:ilvl w:val="1"/>
        <w:numId w:val="20"/>
      </w:numPr>
      <w:ind w:left="1271" w:hanging="420"/>
    </w:pPr>
  </w:style>
  <w:style w:type="paragraph" w:customStyle="1" w:styleId="191">
    <w:name w:val="标准文件_三级项2"/>
    <w:basedOn w:val="59"/>
    <w:autoRedefine/>
    <w:qFormat/>
    <w:uiPriority w:val="0"/>
    <w:pPr>
      <w:numPr>
        <w:ilvl w:val="0"/>
        <w:numId w:val="29"/>
      </w:numPr>
      <w:spacing w:line="300" w:lineRule="exact"/>
      <w:ind w:left="1276" w:hanging="425"/>
    </w:pPr>
  </w:style>
  <w:style w:type="paragraph" w:customStyle="1" w:styleId="192">
    <w:name w:val="标准文件_一级项2"/>
    <w:basedOn w:val="59"/>
    <w:autoRedefine/>
    <w:qFormat/>
    <w:uiPriority w:val="0"/>
    <w:pPr>
      <w:numPr>
        <w:ilvl w:val="0"/>
        <w:numId w:val="30"/>
      </w:numPr>
      <w:spacing w:line="300" w:lineRule="exact"/>
      <w:ind w:left="1271" w:hanging="420"/>
    </w:pPr>
  </w:style>
  <w:style w:type="paragraph" w:customStyle="1" w:styleId="193">
    <w:name w:val="标准文件_提示"/>
    <w:basedOn w:val="59"/>
    <w:next w:val="59"/>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jc w:val="center"/>
    </w:pPr>
    <w:rPr>
      <w:rFonts w:ascii="黑体" w:hAnsi="黑体" w:eastAsia="黑体"/>
      <w:vanish/>
      <w:sz w:val="2"/>
    </w:rPr>
  </w:style>
  <w:style w:type="paragraph" w:customStyle="1" w:styleId="202">
    <w:name w:val="标准文件_附录表标号"/>
    <w:basedOn w:val="59"/>
    <w:next w:val="59"/>
    <w:autoRedefine/>
    <w:qFormat/>
    <w:uiPriority w:val="0"/>
    <w:pPr>
      <w:numPr>
        <w:ilvl w:val="0"/>
        <w:numId w:val="5"/>
      </w:numPr>
      <w:spacing w:line="14" w:lineRule="exact"/>
      <w:ind w:firstLine="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Lines="50" w:afterLines="5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Lines="50" w:afterLines="5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pPr>
    <w:rPr>
      <w:rFonts w:ascii="黑体" w:eastAsia="黑体"/>
    </w:rPr>
  </w:style>
  <w:style w:type="paragraph" w:customStyle="1" w:styleId="207">
    <w:name w:val="标准文件_引言五级条标题"/>
    <w:basedOn w:val="59"/>
    <w:next w:val="59"/>
    <w:autoRedefine/>
    <w:qFormat/>
    <w:uiPriority w:val="0"/>
    <w:pPr>
      <w:numPr>
        <w:ilvl w:val="5"/>
        <w:numId w:val="8"/>
      </w:numPr>
      <w:spacing w:beforeLines="50" w:afterLines="50"/>
    </w:pPr>
    <w:rPr>
      <w:rFonts w:ascii="黑体" w:eastAsia="黑体"/>
    </w:rPr>
  </w:style>
  <w:style w:type="paragraph" w:customStyle="1" w:styleId="208">
    <w:name w:val="标准文件_注后"/>
    <w:basedOn w:val="59"/>
    <w:autoRedefine/>
    <w:qFormat/>
    <w:uiPriority w:val="0"/>
    <w:pPr>
      <w:ind w:left="811"/>
    </w:pPr>
    <w:rPr>
      <w:sz w:val="18"/>
    </w:rPr>
  </w:style>
  <w:style w:type="paragraph" w:customStyle="1" w:styleId="209">
    <w:name w:val="标准文件_注X后"/>
    <w:basedOn w:val="59"/>
    <w:autoRedefine/>
    <w:qFormat/>
    <w:uiPriority w:val="0"/>
    <w:pPr>
      <w:ind w:left="811"/>
    </w:pPr>
    <w:rPr>
      <w:sz w:val="18"/>
    </w:rPr>
  </w:style>
  <w:style w:type="paragraph" w:customStyle="1" w:styleId="210">
    <w:name w:val="标准文件_示例后"/>
    <w:basedOn w:val="59"/>
    <w:autoRedefine/>
    <w:qFormat/>
    <w:uiPriority w:val="0"/>
    <w:pPr>
      <w:ind w:left="964"/>
    </w:pPr>
    <w:rPr>
      <w:sz w:val="18"/>
    </w:rPr>
  </w:style>
  <w:style w:type="paragraph" w:customStyle="1" w:styleId="211">
    <w:name w:val="标准文件_示例X后"/>
    <w:basedOn w:val="59"/>
    <w:link w:val="212"/>
    <w:autoRedefine/>
    <w:qFormat/>
    <w:uiPriority w:val="0"/>
    <w:pPr>
      <w:ind w:left="1049"/>
    </w:pPr>
    <w:rPr>
      <w:sz w:val="18"/>
    </w:rPr>
  </w:style>
  <w:style w:type="character" w:customStyle="1" w:styleId="212">
    <w:name w:val="标准文件_示例X后 字符"/>
    <w:basedOn w:val="187"/>
    <w:link w:val="211"/>
    <w:qFormat/>
    <w:uiPriority w:val="0"/>
    <w:rPr>
      <w:rFonts w:ascii="宋体" w:hAnsi="Times New Roman"/>
      <w:color w:val="000000"/>
      <w:sz w:val="18"/>
      <w:szCs w:val="21"/>
    </w:rPr>
  </w:style>
  <w:style w:type="paragraph" w:customStyle="1" w:styleId="213">
    <w:name w:val="标准文件_索引项"/>
    <w:basedOn w:val="59"/>
    <w:next w:val="59"/>
    <w:autoRedefine/>
    <w:qFormat/>
    <w:uiPriority w:val="0"/>
    <w:pPr>
      <w:tabs>
        <w:tab w:val="right" w:leader="dot" w:pos="9356"/>
      </w:tabs>
      <w:ind w:left="210" w:hanging="210"/>
    </w:pPr>
  </w:style>
  <w:style w:type="paragraph" w:customStyle="1" w:styleId="214">
    <w:name w:val="标准文件_附录一级无标题"/>
    <w:basedOn w:val="81"/>
    <w:autoRedefine/>
    <w:qFormat/>
    <w:uiPriority w:val="0"/>
    <w:pPr>
      <w:spacing w:beforeLines="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Lines="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next w:val="59"/>
    <w:autoRedefine/>
    <w:qFormat/>
    <w:uiPriority w:val="0"/>
    <w:pPr>
      <w:spacing w:beforeLines="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Lines="0" w:afterLines="0" w:line="276" w:lineRule="auto"/>
    </w:pPr>
    <w:rPr>
      <w:rFonts w:ascii="宋体" w:eastAsia="宋体"/>
    </w:rPr>
  </w:style>
  <w:style w:type="paragraph" w:customStyle="1" w:styleId="223">
    <w:name w:val="标准文件_引言五级无标题"/>
    <w:basedOn w:val="207"/>
    <w:next w:val="59"/>
    <w:autoRedefine/>
    <w:qFormat/>
    <w:uiPriority w:val="0"/>
    <w:pPr>
      <w:spacing w:beforeLines="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paragraph" w:customStyle="1" w:styleId="233">
    <w:name w:val="一级条标题"/>
    <w:next w:val="1"/>
    <w:autoRedefine/>
    <w:qFormat/>
    <w:uiPriority w:val="0"/>
    <w:pPr>
      <w:numPr>
        <w:ilvl w:val="1"/>
        <w:numId w:val="31"/>
      </w:numPr>
      <w:spacing w:beforeLines="50" w:afterLines="50"/>
      <w:outlineLvl w:val="2"/>
    </w:pPr>
    <w:rPr>
      <w:rFonts w:ascii="黑体" w:hAnsi="Times New Roman" w:eastAsia="黑体" w:cs="Times New Roman"/>
      <w:sz w:val="21"/>
      <w:szCs w:val="21"/>
      <w:lang w:val="en-US" w:eastAsia="zh-CN" w:bidi="ar-SA"/>
    </w:rPr>
  </w:style>
  <w:style w:type="paragraph" w:customStyle="1" w:styleId="234">
    <w:name w:val="章标题"/>
    <w:next w:val="1"/>
    <w:autoRedefine/>
    <w:qFormat/>
    <w:uiPriority w:val="0"/>
    <w:pPr>
      <w:numPr>
        <w:ilvl w:val="0"/>
        <w:numId w:val="31"/>
      </w:numPr>
      <w:spacing w:beforeLines="100" w:after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autoRedefine/>
    <w:qFormat/>
    <w:uiPriority w:val="0"/>
    <w:pPr>
      <w:numPr>
        <w:ilvl w:val="2"/>
      </w:numPr>
      <w:spacing w:before="50" w:after="50"/>
      <w:outlineLvl w:val="3"/>
    </w:pPr>
  </w:style>
  <w:style w:type="paragraph" w:customStyle="1" w:styleId="236">
    <w:name w:val="三级条标题"/>
    <w:basedOn w:val="235"/>
    <w:next w:val="1"/>
    <w:autoRedefine/>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autoRedefine/>
    <w:qFormat/>
    <w:uiPriority w:val="0"/>
    <w:pPr>
      <w:numPr>
        <w:ilvl w:val="5"/>
      </w:numPr>
      <w:outlineLvl w:val="6"/>
    </w:pPr>
  </w:style>
  <w:style w:type="paragraph" w:styleId="239">
    <w:name w:val="List Paragraph"/>
    <w:basedOn w:val="1"/>
    <w:autoRedefine/>
    <w:qFormat/>
    <w:uiPriority w:val="99"/>
    <w:pPr>
      <w:adjustRightInd/>
      <w:spacing w:line="240" w:lineRule="auto"/>
      <w:ind w:firstLine="420" w:firstLineChars="200"/>
    </w:pPr>
    <w:rPr>
      <w:rFonts w:ascii="Times New Roman" w:hAnsi="Times New Roman"/>
      <w:szCs w:val="24"/>
    </w:rPr>
  </w:style>
  <w:style w:type="paragraph" w:customStyle="1" w:styleId="240">
    <w:name w:val="Table Paragraph"/>
    <w:basedOn w:val="1"/>
    <w:autoRedefine/>
    <w:qFormat/>
    <w:uiPriority w:val="1"/>
    <w:pPr>
      <w:adjustRightInd/>
      <w:spacing w:line="240" w:lineRule="auto"/>
    </w:pPr>
    <w:rPr>
      <w:rFonts w:ascii="Times New Roman" w:hAnsi="Times New Roman"/>
      <w:szCs w:val="24"/>
    </w:rPr>
  </w:style>
  <w:style w:type="paragraph" w:customStyle="1" w:styleId="241">
    <w:name w:val="段"/>
    <w:link w:val="242"/>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2">
    <w:name w:val="段 Char"/>
    <w:link w:val="241"/>
    <w:autoRedefine/>
    <w:qFormat/>
    <w:uiPriority w:val="0"/>
    <w:rPr>
      <w:rFonts w:ascii="宋体" w:hAnsi="Times New Roman"/>
      <w:sz w:val="21"/>
    </w:rPr>
  </w:style>
  <w:style w:type="table" w:customStyle="1" w:styleId="243">
    <w:name w:val="Table Normal"/>
    <w:autoRedefine/>
    <w:unhideWhenUsed/>
    <w:qFormat/>
    <w:uiPriority w:val="0"/>
    <w:tblPr>
      <w:tblCellMar>
        <w:top w:w="0" w:type="dxa"/>
        <w:left w:w="0" w:type="dxa"/>
        <w:bottom w:w="0" w:type="dxa"/>
        <w:right w:w="0" w:type="dxa"/>
      </w:tblCellMar>
    </w:tblPr>
  </w:style>
  <w:style w:type="paragraph" w:customStyle="1" w:styleId="244">
    <w:name w:val="修订1"/>
    <w:hidden/>
    <w:unhideWhenUsed/>
    <w:qFormat/>
    <w:uiPriority w:val="99"/>
    <w:rPr>
      <w:rFonts w:ascii="Calibri" w:hAnsi="Calibri" w:eastAsia="宋体" w:cs="Times New Roman"/>
      <w:kern w:val="2"/>
      <w:sz w:val="21"/>
      <w:szCs w:val="21"/>
      <w:lang w:val="en-US" w:eastAsia="zh-CN" w:bidi="ar-SA"/>
    </w:rPr>
  </w:style>
  <w:style w:type="paragraph" w:customStyle="1" w:styleId="245">
    <w:name w:val="修订2"/>
    <w:hidden/>
    <w:unhideWhenUsed/>
    <w:qFormat/>
    <w:uiPriority w:val="99"/>
    <w:rPr>
      <w:rFonts w:ascii="Calibri" w:hAnsi="Calibri" w:eastAsia="宋体" w:cs="Times New Roman"/>
      <w:kern w:val="2"/>
      <w:sz w:val="21"/>
      <w:szCs w:val="21"/>
      <w:lang w:val="en-US" w:eastAsia="zh-CN" w:bidi="ar-SA"/>
    </w:rPr>
  </w:style>
  <w:style w:type="paragraph" w:customStyle="1" w:styleId="246">
    <w:name w:val="修订3"/>
    <w:hidden/>
    <w:unhideWhenUsed/>
    <w:qFormat/>
    <w:uiPriority w:val="99"/>
    <w:rPr>
      <w:rFonts w:ascii="Calibri" w:hAnsi="Calibri" w:eastAsia="宋体" w:cs="Times New Roman"/>
      <w:kern w:val="2"/>
      <w:sz w:val="21"/>
      <w:szCs w:val="21"/>
      <w:lang w:val="en-US" w:eastAsia="zh-CN" w:bidi="ar-SA"/>
    </w:rPr>
  </w:style>
  <w:style w:type="paragraph" w:customStyle="1" w:styleId="247">
    <w:name w:val="表标题"/>
    <w:next w:val="1"/>
    <w:qFormat/>
    <w:uiPriority w:val="0"/>
    <w:pPr>
      <w:jc w:val="center"/>
    </w:pPr>
    <w:rPr>
      <w:rFonts w:ascii="Times New Roman" w:hAnsi="Times New Roman" w:eastAsia="黑体" w:cstheme="minorBidi"/>
      <w:kern w:val="2"/>
      <w:sz w:val="18"/>
      <w:szCs w:val="24"/>
      <w:lang w:val="en-US" w:eastAsia="zh-CN" w:bidi="ar-SA"/>
    </w:rPr>
  </w:style>
  <w:style w:type="paragraph" w:customStyle="1" w:styleId="248">
    <w:name w:val="表格内容"/>
    <w:qFormat/>
    <w:uiPriority w:val="0"/>
    <w:pPr>
      <w:jc w:val="center"/>
    </w:pPr>
    <w:rPr>
      <w:rFonts w:ascii="Times New Roman" w:hAnsi="Times New Roman" w:eastAsia="宋体" w:cstheme="minorBidi"/>
      <w:kern w:val="2"/>
      <w:sz w:val="18"/>
      <w:szCs w:val="24"/>
      <w:lang w:val="en-US" w:eastAsia="zh-CN" w:bidi="ar-SA"/>
    </w:rPr>
  </w:style>
  <w:style w:type="paragraph" w:customStyle="1" w:styleId="249">
    <w:name w:val="附录标题"/>
    <w:qFormat/>
    <w:uiPriority w:val="0"/>
    <w:pPr>
      <w:jc w:val="center"/>
    </w:pPr>
    <w:rPr>
      <w:rFonts w:ascii="Times New Roman" w:hAnsi="Times New Roman" w:eastAsia="宋体" w:cs="Times New Roman"/>
      <w:b/>
      <w:kern w:val="2"/>
      <w:sz w:val="28"/>
      <w:szCs w:val="28"/>
      <w:lang w:val="en-US" w:eastAsia="zh-CN" w:bidi="ar-SA"/>
    </w:rPr>
  </w:style>
  <w:style w:type="paragraph" w:customStyle="1" w:styleId="250">
    <w:name w:val="修订4"/>
    <w:hidden/>
    <w:unhideWhenUsed/>
    <w:qFormat/>
    <w:uiPriority w:val="99"/>
    <w:rPr>
      <w:rFonts w:ascii="Calibri" w:hAnsi="Calibri" w:eastAsia="宋体" w:cs="Times New Roman"/>
      <w:kern w:val="2"/>
      <w:sz w:val="21"/>
      <w:szCs w:val="21"/>
      <w:lang w:val="en-US" w:eastAsia="zh-CN" w:bidi="ar-SA"/>
    </w:rPr>
  </w:style>
  <w:style w:type="character" w:customStyle="1" w:styleId="251">
    <w:name w:val="批注文字 字符"/>
    <w:basedOn w:val="30"/>
    <w:link w:val="13"/>
    <w:qFormat/>
    <w:uiPriority w:val="99"/>
    <w:rPr>
      <w:kern w:val="2"/>
      <w:sz w:val="21"/>
      <w:szCs w:val="21"/>
    </w:rPr>
  </w:style>
  <w:style w:type="character" w:customStyle="1" w:styleId="252">
    <w:name w:val="批注主题 字符"/>
    <w:basedOn w:val="251"/>
    <w:link w:val="27"/>
    <w:semiHidden/>
    <w:qFormat/>
    <w:uiPriority w:val="99"/>
    <w:rPr>
      <w:b/>
      <w:bCs/>
      <w:kern w:val="2"/>
      <w:sz w:val="21"/>
      <w:szCs w:val="21"/>
    </w:rPr>
  </w:style>
  <w:style w:type="paragraph" w:customStyle="1" w:styleId="253">
    <w:name w:val="修订5"/>
    <w:hidden/>
    <w:unhideWhenUsed/>
    <w:qFormat/>
    <w:uiPriority w:val="99"/>
    <w:rPr>
      <w:rFonts w:ascii="Calibri" w:hAnsi="Calibri" w:eastAsia="宋体" w:cs="Times New Roman"/>
      <w:kern w:val="2"/>
      <w:sz w:val="21"/>
      <w:szCs w:val="21"/>
      <w:lang w:val="en-US" w:eastAsia="zh-CN" w:bidi="ar-SA"/>
    </w:rPr>
  </w:style>
  <w:style w:type="table" w:customStyle="1" w:styleId="254">
    <w:name w:val="标准表格"/>
    <w:basedOn w:val="28"/>
    <w:qFormat/>
    <w:uiPriority w:val="99"/>
    <w:tblP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
    <w:tblStylePr w:type="firstRow">
      <w:tcPr>
        <w:tcBorders>
          <w:top w:val="nil"/>
          <w:left w:val="nil"/>
          <w:bottom w:val="single" w:color="auto" w:sz="8" w:space="0"/>
          <w:right w:val="nil"/>
          <w:insideH w:val="nil"/>
          <w:insideV w:val="nil"/>
          <w:tl2br w:val="nil"/>
          <w:tr2bl w:val="nil"/>
        </w:tcBorders>
      </w:tcPr>
    </w:tblStylePr>
  </w:style>
  <w:style w:type="paragraph" w:customStyle="1" w:styleId="255">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8.jpe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21382BEB6334716A3C4C81BC1FFB301"/>
        <w:style w:val=""/>
        <w:category>
          <w:name w:val="常规"/>
          <w:gallery w:val="placeholder"/>
        </w:category>
        <w:types>
          <w:type w:val="bbPlcHdr"/>
        </w:types>
        <w:behaviors>
          <w:behavior w:val="content"/>
        </w:behaviors>
        <w:description w:val=""/>
        <w:guid w:val="{8A268A8B-AADC-4170-A6F6-AD4F2FD9B215}"/>
      </w:docPartPr>
      <w:docPartBody>
        <w:p w14:paraId="32AFC961">
          <w:pPr>
            <w:pStyle w:val="5"/>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AE9"/>
    <w:rsid w:val="000420A8"/>
    <w:rsid w:val="00056AA7"/>
    <w:rsid w:val="00066A9C"/>
    <w:rsid w:val="001321A0"/>
    <w:rsid w:val="00160C49"/>
    <w:rsid w:val="00163A74"/>
    <w:rsid w:val="00165F15"/>
    <w:rsid w:val="00174F00"/>
    <w:rsid w:val="001B41E5"/>
    <w:rsid w:val="002874FB"/>
    <w:rsid w:val="002964A9"/>
    <w:rsid w:val="002D074C"/>
    <w:rsid w:val="00322B13"/>
    <w:rsid w:val="003941A3"/>
    <w:rsid w:val="003E5AE9"/>
    <w:rsid w:val="003F658A"/>
    <w:rsid w:val="00434ACD"/>
    <w:rsid w:val="0044617D"/>
    <w:rsid w:val="004467E6"/>
    <w:rsid w:val="00460A74"/>
    <w:rsid w:val="004705D2"/>
    <w:rsid w:val="00474C1F"/>
    <w:rsid w:val="004D4133"/>
    <w:rsid w:val="004F4456"/>
    <w:rsid w:val="00511256"/>
    <w:rsid w:val="005525C2"/>
    <w:rsid w:val="0056031B"/>
    <w:rsid w:val="00561606"/>
    <w:rsid w:val="00567154"/>
    <w:rsid w:val="005845DC"/>
    <w:rsid w:val="005B6CED"/>
    <w:rsid w:val="005C57DB"/>
    <w:rsid w:val="005F487C"/>
    <w:rsid w:val="00622340"/>
    <w:rsid w:val="00626B67"/>
    <w:rsid w:val="0064626F"/>
    <w:rsid w:val="00660FA0"/>
    <w:rsid w:val="006742A3"/>
    <w:rsid w:val="006A2421"/>
    <w:rsid w:val="006B4314"/>
    <w:rsid w:val="006C47AA"/>
    <w:rsid w:val="006E2E28"/>
    <w:rsid w:val="007251CA"/>
    <w:rsid w:val="00725E3A"/>
    <w:rsid w:val="00732E2E"/>
    <w:rsid w:val="007A099E"/>
    <w:rsid w:val="007E131C"/>
    <w:rsid w:val="007F210F"/>
    <w:rsid w:val="00805BD0"/>
    <w:rsid w:val="008117DA"/>
    <w:rsid w:val="008339CA"/>
    <w:rsid w:val="008715AB"/>
    <w:rsid w:val="00873E80"/>
    <w:rsid w:val="008749DC"/>
    <w:rsid w:val="00893618"/>
    <w:rsid w:val="008B11B5"/>
    <w:rsid w:val="008C5A2A"/>
    <w:rsid w:val="008D0DC8"/>
    <w:rsid w:val="008F003F"/>
    <w:rsid w:val="008F66FA"/>
    <w:rsid w:val="00920507"/>
    <w:rsid w:val="00934B6B"/>
    <w:rsid w:val="00971DA8"/>
    <w:rsid w:val="0098398C"/>
    <w:rsid w:val="00990533"/>
    <w:rsid w:val="00995582"/>
    <w:rsid w:val="009A08AF"/>
    <w:rsid w:val="009B548D"/>
    <w:rsid w:val="009E2486"/>
    <w:rsid w:val="00A14C02"/>
    <w:rsid w:val="00A21F71"/>
    <w:rsid w:val="00A3462C"/>
    <w:rsid w:val="00A64960"/>
    <w:rsid w:val="00AA5943"/>
    <w:rsid w:val="00AC60AF"/>
    <w:rsid w:val="00AC7B34"/>
    <w:rsid w:val="00AD6EC7"/>
    <w:rsid w:val="00AE12E3"/>
    <w:rsid w:val="00AF0006"/>
    <w:rsid w:val="00AF0A11"/>
    <w:rsid w:val="00B36D92"/>
    <w:rsid w:val="00B46C70"/>
    <w:rsid w:val="00B604D2"/>
    <w:rsid w:val="00B64AA3"/>
    <w:rsid w:val="00B84869"/>
    <w:rsid w:val="00BA6372"/>
    <w:rsid w:val="00BB6AA1"/>
    <w:rsid w:val="00BE6BEE"/>
    <w:rsid w:val="00C00C68"/>
    <w:rsid w:val="00C07D0B"/>
    <w:rsid w:val="00C27895"/>
    <w:rsid w:val="00C5752F"/>
    <w:rsid w:val="00C74278"/>
    <w:rsid w:val="00C85B96"/>
    <w:rsid w:val="00CA5851"/>
    <w:rsid w:val="00CD4B80"/>
    <w:rsid w:val="00D0757E"/>
    <w:rsid w:val="00D27C9C"/>
    <w:rsid w:val="00D30346"/>
    <w:rsid w:val="00D44F26"/>
    <w:rsid w:val="00D47947"/>
    <w:rsid w:val="00D711DC"/>
    <w:rsid w:val="00DD6CC5"/>
    <w:rsid w:val="00E07CF6"/>
    <w:rsid w:val="00E15C68"/>
    <w:rsid w:val="00E20DE0"/>
    <w:rsid w:val="00E21019"/>
    <w:rsid w:val="00E23B1C"/>
    <w:rsid w:val="00E42DF4"/>
    <w:rsid w:val="00E700E6"/>
    <w:rsid w:val="00E7671C"/>
    <w:rsid w:val="00EB29AF"/>
    <w:rsid w:val="00ED0F2A"/>
    <w:rsid w:val="00F60FC0"/>
    <w:rsid w:val="00FB3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21382BEB6334716A3C4C81BC1FFB30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DDE819-8D29-4518-9310-E39B6E19997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17</Pages>
  <Words>3286</Words>
  <Characters>3547</Characters>
  <Lines>692</Lines>
  <Paragraphs>928</Paragraphs>
  <TotalTime>332</TotalTime>
  <ScaleCrop>false</ScaleCrop>
  <LinksUpToDate>false</LinksUpToDate>
  <CharactersWithSpaces>3661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2025-05-03T17:12:00Z</dcterms:created>
  <dc:creator>李琰</dc:creator>
  <cp:lastModifiedBy>Sadu-孔方兄</cp:lastModifiedBy>
  <cp:lastPrinted>2026-06-30T07:01:00Z</cp:lastPrinted>
  <dcterms:modified xsi:type="dcterms:W3CDTF">2026-07-29T06:33:48Z</dcterms:modified>
  <dc:title>地方标准</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46521945DED94DC298F67BC5E0DECBF6_13</vt:lpwstr>
  </property>
  <property fmtid="{D5CDD505-2E9C-101B-9397-08002B2CF9AE}" pid="16" name="KSOTemplateDocerSaveRecord">
    <vt:lpwstr>eyJoZGlkIjoiNjZlOGQyODc1OTE2MjFlYWNhYTk4NmY4NmY2NTYyNmQiLCJ1c2VySWQiOiI2MDc1NTQ5NTcifQ==</vt:lpwstr>
  </property>
</Properties>
</file>