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5ECA1">
      <w:pPr>
        <w:spacing w:line="570" w:lineRule="exact"/>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w:t>
      </w:r>
      <w:r>
        <w:rPr>
          <w:rFonts w:hint="eastAsia" w:ascii="方正小标宋简体" w:eastAsia="方正小标宋简体"/>
          <w:kern w:val="0"/>
          <w:sz w:val="44"/>
          <w:szCs w:val="18"/>
        </w:rPr>
        <w:t>公路桥梁与隧道结构长期性能科学观测点建设规范</w:t>
      </w:r>
      <w:r>
        <w:rPr>
          <w:rFonts w:hint="eastAsia" w:ascii="方正小标宋简体" w:hAnsi="方正小标宋简体" w:eastAsia="方正小标宋简体" w:cs="方正小标宋简体"/>
          <w:sz w:val="40"/>
          <w:szCs w:val="40"/>
        </w:rPr>
        <w:t>》</w:t>
      </w:r>
    </w:p>
    <w:p w14:paraId="50B3BEDE">
      <w:pPr>
        <w:spacing w:line="57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山东省地方标准编制说明</w:t>
      </w:r>
    </w:p>
    <w:p w14:paraId="1AAE3772">
      <w:pPr>
        <w:spacing w:line="570" w:lineRule="exact"/>
        <w:jc w:val="center"/>
        <w:rPr>
          <w:rFonts w:hint="eastAsia" w:ascii="黑体" w:hAnsi="黑体" w:eastAsia="黑体" w:cs="黑体"/>
          <w:b/>
          <w:kern w:val="0"/>
          <w:sz w:val="32"/>
          <w:szCs w:val="32"/>
        </w:rPr>
      </w:pP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val="en-US" w:eastAsia="zh-CN"/>
        </w:rPr>
        <w:t>送审</w:t>
      </w:r>
      <w:r>
        <w:rPr>
          <w:rFonts w:hint="eastAsia" w:ascii="方正小标宋简体" w:hAnsi="方正小标宋简体" w:eastAsia="方正小标宋简体" w:cs="方正小标宋简体"/>
          <w:sz w:val="44"/>
          <w:szCs w:val="44"/>
        </w:rPr>
        <w:t>稿）</w:t>
      </w:r>
    </w:p>
    <w:p w14:paraId="2891E05D">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0" w:name="_Toc102660671"/>
      <w:r>
        <w:rPr>
          <w:rFonts w:hint="eastAsia" w:ascii="黑体" w:hAnsi="黑体" w:eastAsia="黑体" w:cs="黑体"/>
          <w:b w:val="0"/>
          <w:kern w:val="0"/>
          <w:sz w:val="32"/>
          <w:szCs w:val="32"/>
        </w:rPr>
        <w:t>工作简况</w:t>
      </w:r>
      <w:bookmarkEnd w:id="0"/>
    </w:p>
    <w:p w14:paraId="7F59225A">
      <w:pPr>
        <w:pStyle w:val="18"/>
        <w:numPr>
          <w:ilvl w:val="0"/>
          <w:numId w:val="2"/>
        </w:numPr>
        <w:spacing w:line="600" w:lineRule="exact"/>
        <w:ind w:firstLineChars="0"/>
        <w:outlineLvl w:val="1"/>
        <w:rPr>
          <w:rFonts w:hint="eastAsia" w:ascii="楷体_GB2312" w:eastAsia="楷体_GB2312"/>
          <w:sz w:val="32"/>
          <w:szCs w:val="32"/>
        </w:rPr>
      </w:pPr>
      <w:bookmarkStart w:id="1" w:name="_Toc102660672"/>
      <w:r>
        <w:rPr>
          <w:rFonts w:hint="eastAsia" w:ascii="楷体_GB2312" w:eastAsia="楷体_GB2312"/>
          <w:sz w:val="32"/>
          <w:szCs w:val="32"/>
        </w:rPr>
        <w:t>任务来源</w:t>
      </w:r>
      <w:bookmarkEnd w:id="1"/>
    </w:p>
    <w:p w14:paraId="1987DD58">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本标准任务来源是根据山东省市场监督管理局《山东省市场监督管理局关于印发〈港口装卸服务规范 第1部分：集装箱等〉第二批地方标准计划项目的通知》（鲁市监标函〔2024〕166号）。</w:t>
      </w:r>
    </w:p>
    <w:p w14:paraId="0C433C2F">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本文件由山东省交通运输厅提出并组织实施，由山东省交通运输标准化技术委员会（T</w:t>
      </w:r>
      <w:r>
        <w:rPr>
          <w:rFonts w:ascii="仿宋_GB2312" w:hAnsi="仿宋_GB2312" w:eastAsia="仿宋_GB2312" w:cs="仿宋_GB2312"/>
          <w:kern w:val="0"/>
          <w:sz w:val="32"/>
          <w:szCs w:val="32"/>
        </w:rPr>
        <w:t>C 41</w:t>
      </w:r>
      <w:r>
        <w:rPr>
          <w:rFonts w:hint="eastAsia" w:ascii="仿宋_GB2312" w:hAnsi="仿宋_GB2312" w:eastAsia="仿宋_GB2312" w:cs="仿宋_GB2312"/>
          <w:kern w:val="0"/>
          <w:sz w:val="32"/>
          <w:szCs w:val="32"/>
        </w:rPr>
        <w:t>）归口。</w:t>
      </w:r>
    </w:p>
    <w:p w14:paraId="0A6887EE">
      <w:pPr>
        <w:pStyle w:val="18"/>
        <w:numPr>
          <w:ilvl w:val="0"/>
          <w:numId w:val="2"/>
        </w:numPr>
        <w:spacing w:line="600" w:lineRule="exact"/>
        <w:ind w:firstLineChars="0"/>
        <w:outlineLvl w:val="1"/>
        <w:rPr>
          <w:rFonts w:hint="eastAsia" w:ascii="楷体_GB2312" w:eastAsia="楷体_GB2312"/>
          <w:sz w:val="32"/>
          <w:szCs w:val="32"/>
        </w:rPr>
      </w:pPr>
      <w:bookmarkStart w:id="2" w:name="_Toc102660673"/>
      <w:r>
        <w:rPr>
          <w:rFonts w:hint="eastAsia" w:ascii="楷体_GB2312" w:eastAsia="楷体_GB2312"/>
          <w:sz w:val="32"/>
          <w:szCs w:val="32"/>
        </w:rPr>
        <w:t>起草单位、起草人及任务分工</w:t>
      </w:r>
      <w:bookmarkEnd w:id="2"/>
    </w:p>
    <w:p w14:paraId="6733796B">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w:t>
      </w:r>
      <w:r>
        <w:rPr>
          <w:rFonts w:ascii="仿宋_GB2312" w:hAnsi="仿宋_GB2312" w:eastAsia="仿宋_GB2312" w:cs="仿宋_GB2312"/>
          <w:b/>
          <w:bCs/>
          <w:kern w:val="0"/>
          <w:sz w:val="32"/>
          <w:szCs w:val="32"/>
        </w:rPr>
        <w:t>.</w:t>
      </w:r>
      <w:r>
        <w:rPr>
          <w:rFonts w:hint="eastAsia" w:ascii="仿宋_GB2312" w:hAnsi="仿宋_GB2312" w:eastAsia="仿宋_GB2312" w:cs="仿宋_GB2312"/>
          <w:b/>
          <w:bCs/>
          <w:kern w:val="0"/>
          <w:sz w:val="32"/>
          <w:szCs w:val="32"/>
        </w:rPr>
        <w:t>主要起草单位</w:t>
      </w:r>
    </w:p>
    <w:p w14:paraId="3CC5F468">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山东高速集团有限公司创新研究院、山东高速集团有限公司高速公路运营公司（高速公路运营中心）、山东高速工程检测有限公司、山东高速股份有限公司、山东高速基础设施建设有限公司、山东高速建设管理集团有限公司、山东高速青岛发展有限公司、山东鹏程路桥集团有限公司、山东省交通科学研究院、济宁济邹高速公路有限责任公司。</w:t>
      </w:r>
    </w:p>
    <w:p w14:paraId="113E2143">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2.主要起草人</w:t>
      </w:r>
    </w:p>
    <w:p w14:paraId="178EB4E6">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辛公锋、侯福金、龙关旭、李海生、刘乐民、张文武、韦金城、盖国晖、徐传昶、张文亮、王珊珊、吕新建、张希锋、商淑杰、李昌辉、胡学亮、马亚、闫晨、李传夫、王阳春、尚志强、文开艳、蒋洁、韩涛、朱士超、马乃轩、李广奇、南骁聪、韩文扬、邵珠峰、朱德保、张泽军、李帆、张锐。</w:t>
      </w:r>
    </w:p>
    <w:p w14:paraId="58BE9FD0">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3.任务分工</w:t>
      </w:r>
    </w:p>
    <w:p w14:paraId="2405DA9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辛公锋、侯福金、龙关旭：标准起草负责人，执笔编写标准。组织标准起草工作，把握标准制定技术方向，组织协调标准制定所需资源。</w:t>
      </w:r>
    </w:p>
    <w:p w14:paraId="0FA069AB">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李海生、刘乐民、张文武、韦金城、盖国晖、徐传昶：标准起草负责人，组织确定标准制定方案，组织推进标准制定程序和进度，组织协调标准制定所需资源。</w:t>
      </w:r>
    </w:p>
    <w:p w14:paraId="1802742E">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张文亮、王珊珊、吕新建、张希锋、商淑杰、李昌辉、胡学亮、马亚：组织讨论确定标准框架、编写思路，组织起草组人员讨论确定标准化对象需要规范的技术要素。</w:t>
      </w:r>
    </w:p>
    <w:p w14:paraId="312FBEE3">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闫晨、李传夫、王阳春、尚志强、文开艳、蒋洁、韩涛、朱士超、马乃轩、李广奇、南骁聪、韩文扬、邵珠峰、朱德保、张泽军、李帆、张锐：参与标准调研、标准编写、标准讨论，协助整理标准相关技术文档，参与办理征求意见，办理标准研讨会、标准专家审查会等具体事务等。</w:t>
      </w:r>
    </w:p>
    <w:p w14:paraId="0FBACA75">
      <w:pPr>
        <w:pStyle w:val="18"/>
        <w:numPr>
          <w:ilvl w:val="0"/>
          <w:numId w:val="2"/>
        </w:numPr>
        <w:spacing w:line="600" w:lineRule="exact"/>
        <w:ind w:firstLineChars="0"/>
        <w:outlineLvl w:val="1"/>
        <w:rPr>
          <w:rFonts w:hint="eastAsia" w:ascii="楷体_GB2312" w:eastAsia="楷体_GB2312"/>
          <w:sz w:val="32"/>
          <w:szCs w:val="32"/>
        </w:rPr>
      </w:pPr>
      <w:bookmarkStart w:id="3" w:name="_Toc102660674"/>
      <w:r>
        <w:rPr>
          <w:rFonts w:hint="eastAsia" w:ascii="楷体_GB2312" w:eastAsia="楷体_GB2312"/>
          <w:sz w:val="32"/>
          <w:szCs w:val="32"/>
        </w:rPr>
        <w:t>起草过程</w:t>
      </w:r>
      <w:bookmarkEnd w:id="3"/>
    </w:p>
    <w:p w14:paraId="0BF5A2A1">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1.前期准备</w:t>
      </w:r>
    </w:p>
    <w:p w14:paraId="4253AE36">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标准立项计划下达后，山东省交通运输厅标准化秘书处立即对标准制定工作进行了专项部署与指导。为保障标准编制工作的科学性、专业性与可操作性，于2024年9月正式成立了《公路桥梁与隧道结构长期性能科学观测点建设规范》标准起草组。</w:t>
      </w:r>
    </w:p>
    <w:p w14:paraId="696CAFD6">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起草组由山东省内公路养护管理、设计、科研、检测及标准化领域的相关单位与技术专家共同组成，明确了牵头单位、参与单位及各位成员的具体职责与分工。起草组成立后，立即组织学习了公路基础设施长期性能科学观测相关的国家政策、行业发展规划及最新技术标准，明确了本标准制定的目的、意义与基本原则。并通过了本标准起草工作的详细实施方案，对工作阶段划分、时间进度安排、调研重点、技术路线及经费保障等进行了周密部署，为标准制定工作的全面、有序启动奠定了坚实基础。</w:t>
      </w:r>
    </w:p>
    <w:p w14:paraId="09A28B2C">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2.现状调研</w:t>
      </w:r>
    </w:p>
    <w:p w14:paraId="3BC1D613">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起草组坚持问题导向与需求导向，采用“理论研究与工程实践相结合、宏观政策与具体技术相对照”的方法，系统开展了多层次、多维度的现状调研工作，全面掌握了公路桥梁与隧道长期性能观测技术发展的现状、趋势与实际工程需求。具体工作时间如下：</w:t>
      </w:r>
    </w:p>
    <w:p w14:paraId="507A19C3">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（1）文献与标准调研（2024年09月-2024年12月）</w:t>
      </w:r>
    </w:p>
    <w:p w14:paraId="7E52AA14">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系统检索并分析了国内外关于基础设施长期性能监测、结构健康监测、传感器技术及数据管理的学术论文、研究报告与专利文献。重点研究了交通运输部已发布的《公路基础设施长期性能科学观测网》（JT/T 1504.1 &amp; 1504.2）系列行业标准、《公路桥梁结构监测技术规范》（JT/T 1037）等核心技术标准，以及部分省市在桥梁隧道监测方面的先进经验与规定。通过本阶段工作，明确了本标准在国家观测网体系中的定位，即作为行业标准在公路桥梁与隧道领域的具体化和补充。</w:t>
      </w:r>
    </w:p>
    <w:p w14:paraId="0FBB9BB1">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（2）实地调研与咨询（2024年12月-2025年01月）</w:t>
      </w:r>
    </w:p>
    <w:p w14:paraId="163E6E7F">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组织起草组主要成员，对山东省内已建成的具有代表性的桥梁、隧道长期性能或结构健康监测系统进行了现场考察。调研对象包括但不限于滨州黄河大桥、胶州湾跨海大桥、蟠龙隧道、鲁山隧道等。通过与管理单位、技术实施单位的座谈，深入了解了现有观测点在传感器选型、布设方案、数据采集传输、运维管理及数据应用等方面的成功经验与突出问题，如设备耐久性、数据质量控制、标准化不足等。</w:t>
      </w:r>
    </w:p>
    <w:p w14:paraId="3CCCE55D">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（3）技术研讨与需求分析（2024年01月-2025年2月）</w:t>
      </w:r>
    </w:p>
    <w:p w14:paraId="3771FCC9">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文献与实地调研基础上，起草组召开了多次内部专题研讨会，并邀请了设计、施工、养护、科研及设备厂商领域的专家进行咨询。重点围绕以下核心问题进行了深入研讨与需求梳理：①观测点布局如何兼顾代表性与经济性；②桥梁与隧道在观测项目、传感器布设上的差异化技术要求；③如何实现与既有JT/T 1504系列标准在数据、管理层面的无缝衔接；④面向长期性能研究的观测数据精度与频率最低要求。</w:t>
      </w:r>
    </w:p>
    <w:p w14:paraId="77B26B86">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en-US" w:eastAsia="zh-CN"/>
        </w:rPr>
        <w:t>草稿初稿编制与</w:t>
      </w:r>
      <w:r>
        <w:rPr>
          <w:rFonts w:hint="eastAsia" w:ascii="仿宋_GB2312" w:hAnsi="仿宋_GB2312" w:eastAsia="仿宋_GB2312" w:cs="仿宋_GB2312"/>
          <w:kern w:val="0"/>
          <w:sz w:val="32"/>
          <w:szCs w:val="32"/>
        </w:rPr>
        <w:t>反馈调研（2025年01月-2025年0</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月）</w:t>
      </w:r>
    </w:p>
    <w:p w14:paraId="7421BE92">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在形成标准草案初稿后，向省内多家公路管养、设计单位征求了对草案框架和核心条款的初步意见，收集了关于设备配置清单、验收流程等方面的具体建议，为后续的公开征求意见和草案完善提供了直接输入。</w:t>
      </w:r>
    </w:p>
    <w:p w14:paraId="4D98EF55">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3.起草标准</w:t>
      </w:r>
    </w:p>
    <w:p w14:paraId="15C8B910">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3月到2025年6月，起草组在充分吸收现状调研成果的基础上，起草组遵循“科学性、实用性、协调性”的原则，正式启动了本标准草案的编制工作。整个过程严格遵循标准制定程序，历经内部起草、专家审查及多轮修改完善，确保了标准内容的质量，于2025年6月完成初稿。在初稿完成后，经报质监局同意，于2025年7月1日召开了《公路桥梁与隧道长期性能科学观测点建设规范》地方标准初稿审查会，邀请了行业领域内的专家参加。参会专家听取了标准主要编制单位所作的标准编制情况汇报，对标准编制的思路和标准内容进行了充分讨论，提出了专业性的意见和建议。起草组根据专家的意见和建议，对标准进行了进一步的修改和完善，形成征求意见稿。</w:t>
      </w:r>
    </w:p>
    <w:p w14:paraId="4E72E4D1">
      <w:pPr>
        <w:ind w:firstLine="643" w:firstLineChars="200"/>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4.广泛征求意见与处理</w:t>
      </w:r>
    </w:p>
    <w:p w14:paraId="10A3BCE0">
      <w:pPr>
        <w:spacing w:line="550" w:lineRule="exact"/>
        <w:ind w:firstLine="640" w:firstLineChars="200"/>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按照地方标准制定程序要求，为广泛听取社会各界的意见，编制组于</w:t>
      </w:r>
      <w:r>
        <w:rPr>
          <w:rFonts w:hint="eastAsia" w:ascii="仿宋_GB2312" w:hAnsi="仿宋_GB2312" w:eastAsia="仿宋_GB2312" w:cs="仿宋_GB2312"/>
          <w:kern w:val="0"/>
          <w:sz w:val="32"/>
          <w:szCs w:val="32"/>
          <w:lang w:val="en-US" w:eastAsia="zh-CN"/>
        </w:rPr>
        <w:t>2026年01月19日</w:t>
      </w:r>
      <w:r>
        <w:rPr>
          <w:rFonts w:hint="default" w:ascii="仿宋_GB2312" w:hAnsi="仿宋_GB2312" w:eastAsia="仿宋_GB2312" w:cs="仿宋_GB2312"/>
          <w:kern w:val="0"/>
          <w:sz w:val="32"/>
          <w:szCs w:val="32"/>
          <w:lang w:val="en-US" w:eastAsia="zh-CN"/>
        </w:rPr>
        <w:t>开展了标准征求意见工作。</w:t>
      </w:r>
    </w:p>
    <w:p w14:paraId="6C8C22D6">
      <w:pPr>
        <w:spacing w:line="550" w:lineRule="exact"/>
        <w:ind w:firstLine="640" w:firstLineChars="200"/>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本次征求意见采取了</w:t>
      </w:r>
      <w:r>
        <w:rPr>
          <w:rFonts w:hint="eastAsia" w:ascii="仿宋_GB2312" w:hAnsi="仿宋_GB2312" w:eastAsia="仿宋_GB2312" w:cs="仿宋_GB2312"/>
          <w:kern w:val="0"/>
          <w:sz w:val="32"/>
          <w:szCs w:val="32"/>
          <w:lang w:val="en-US" w:eastAsia="zh-CN"/>
        </w:rPr>
        <w:t>书面发函和公开挂网等</w:t>
      </w:r>
      <w:r>
        <w:rPr>
          <w:rFonts w:hint="default" w:ascii="仿宋_GB2312" w:hAnsi="仿宋_GB2312" w:eastAsia="仿宋_GB2312" w:cs="仿宋_GB2312"/>
          <w:kern w:val="0"/>
          <w:sz w:val="32"/>
          <w:szCs w:val="32"/>
          <w:lang w:val="en-US" w:eastAsia="zh-CN"/>
        </w:rPr>
        <w:t>多种渠道向</w:t>
      </w:r>
      <w:r>
        <w:rPr>
          <w:rFonts w:hint="eastAsia" w:ascii="仿宋_GB2312" w:hAnsi="仿宋_GB2312" w:eastAsia="仿宋_GB2312" w:cs="仿宋_GB2312"/>
          <w:kern w:val="0"/>
          <w:sz w:val="32"/>
          <w:szCs w:val="32"/>
          <w:lang w:val="en-US" w:eastAsia="zh-CN"/>
        </w:rPr>
        <w:t>31</w:t>
      </w:r>
      <w:r>
        <w:rPr>
          <w:rFonts w:hint="default" w:ascii="仿宋_GB2312" w:hAnsi="仿宋_GB2312" w:eastAsia="仿宋_GB2312" w:cs="仿宋_GB2312"/>
          <w:kern w:val="0"/>
          <w:sz w:val="32"/>
          <w:szCs w:val="32"/>
          <w:lang w:val="en-US" w:eastAsia="zh-CN"/>
        </w:rPr>
        <w:t>家相关单位征求意见；共收到</w:t>
      </w:r>
      <w:r>
        <w:rPr>
          <w:rFonts w:hint="eastAsia" w:ascii="仿宋_GB2312" w:hAnsi="仿宋_GB2312" w:eastAsia="仿宋_GB2312" w:cs="仿宋_GB2312"/>
          <w:kern w:val="0"/>
          <w:sz w:val="32"/>
          <w:szCs w:val="32"/>
          <w:lang w:val="en-US" w:eastAsia="zh-CN"/>
        </w:rPr>
        <w:t>28</w:t>
      </w:r>
      <w:r>
        <w:rPr>
          <w:rFonts w:hint="default" w:ascii="仿宋_GB2312" w:hAnsi="仿宋_GB2312" w:eastAsia="仿宋_GB2312" w:cs="仿宋_GB2312"/>
          <w:kern w:val="0"/>
          <w:sz w:val="32"/>
          <w:szCs w:val="32"/>
          <w:lang w:val="en-US" w:eastAsia="zh-CN"/>
        </w:rPr>
        <w:t>家单位和</w:t>
      </w:r>
      <w:r>
        <w:rPr>
          <w:rFonts w:hint="eastAsia" w:ascii="仿宋_GB2312" w:hAnsi="仿宋_GB2312" w:eastAsia="仿宋_GB2312" w:cs="仿宋_GB2312"/>
          <w:kern w:val="0"/>
          <w:sz w:val="32"/>
          <w:szCs w:val="32"/>
          <w:lang w:val="en-US" w:eastAsia="zh-CN"/>
        </w:rPr>
        <w:t>30</w:t>
      </w:r>
      <w:r>
        <w:rPr>
          <w:rFonts w:hint="default" w:ascii="仿宋_GB2312" w:hAnsi="仿宋_GB2312" w:eastAsia="仿宋_GB2312" w:cs="仿宋_GB2312"/>
          <w:kern w:val="0"/>
          <w:sz w:val="32"/>
          <w:szCs w:val="32"/>
          <w:lang w:val="en-US" w:eastAsia="zh-CN"/>
        </w:rPr>
        <w:t>位专家反馈的</w:t>
      </w:r>
      <w:r>
        <w:rPr>
          <w:rFonts w:hint="eastAsia" w:ascii="仿宋_GB2312" w:hAnsi="仿宋_GB2312" w:eastAsia="仿宋_GB2312" w:cs="仿宋_GB2312"/>
          <w:kern w:val="0"/>
          <w:sz w:val="32"/>
          <w:szCs w:val="32"/>
          <w:lang w:val="en-US" w:eastAsia="zh-CN"/>
        </w:rPr>
        <w:t>50</w:t>
      </w:r>
      <w:r>
        <w:rPr>
          <w:rFonts w:hint="default" w:ascii="仿宋_GB2312" w:hAnsi="仿宋_GB2312" w:eastAsia="仿宋_GB2312" w:cs="仿宋_GB2312"/>
          <w:kern w:val="0"/>
          <w:sz w:val="32"/>
          <w:szCs w:val="32"/>
          <w:lang w:val="en-US" w:eastAsia="zh-CN"/>
        </w:rPr>
        <w:t xml:space="preserve">条意见（含建议）。编制组对全部反馈意见进行了逐条处理。经编制组集体讨论，共采纳意见 </w:t>
      </w:r>
      <w:r>
        <w:rPr>
          <w:rFonts w:hint="eastAsia" w:ascii="仿宋_GB2312" w:hAnsi="仿宋_GB2312" w:eastAsia="仿宋_GB2312" w:cs="仿宋_GB2312"/>
          <w:kern w:val="0"/>
          <w:sz w:val="32"/>
          <w:szCs w:val="32"/>
          <w:lang w:val="en-US" w:eastAsia="zh-CN"/>
        </w:rPr>
        <w:t>43</w:t>
      </w:r>
      <w:r>
        <w:rPr>
          <w:rFonts w:hint="default" w:ascii="仿宋_GB2312" w:hAnsi="仿宋_GB2312" w:eastAsia="仿宋_GB2312" w:cs="仿宋_GB2312"/>
          <w:kern w:val="0"/>
          <w:sz w:val="32"/>
          <w:szCs w:val="32"/>
          <w:lang w:val="en-US" w:eastAsia="zh-CN"/>
        </w:rPr>
        <w:t xml:space="preserve"> 条，未采纳</w:t>
      </w:r>
      <w:r>
        <w:rPr>
          <w:rFonts w:hint="eastAsia" w:ascii="仿宋_GB2312" w:hAnsi="仿宋_GB2312" w:eastAsia="仿宋_GB2312" w:cs="仿宋_GB2312"/>
          <w:kern w:val="0"/>
          <w:sz w:val="32"/>
          <w:szCs w:val="32"/>
          <w:lang w:val="en-US" w:eastAsia="zh-CN"/>
        </w:rPr>
        <w:t>7</w:t>
      </w:r>
      <w:r>
        <w:rPr>
          <w:rFonts w:hint="default" w:ascii="仿宋_GB2312" w:hAnsi="仿宋_GB2312" w:eastAsia="仿宋_GB2312" w:cs="仿宋_GB2312"/>
          <w:kern w:val="0"/>
          <w:sz w:val="32"/>
          <w:szCs w:val="32"/>
          <w:lang w:val="en-US" w:eastAsia="zh-CN"/>
        </w:rPr>
        <w:t>条，形成了详细的意见处理表，确保每条意见均有回应、有依据。编制组完成对征求意见的汇总处理，并据此修改完善了标准文本及编制说明，形成了标准送审稿草案</w:t>
      </w:r>
    </w:p>
    <w:p w14:paraId="233EC4A4">
      <w:pPr>
        <w:ind w:firstLine="643" w:firstLineChars="200"/>
        <w:rPr>
          <w:rFonts w:hint="default"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5.送审稿审查会</w:t>
      </w:r>
    </w:p>
    <w:p w14:paraId="4691AD81">
      <w:pPr>
        <w:spacing w:line="550" w:lineRule="exact"/>
        <w:ind w:firstLine="640" w:firstLineChars="200"/>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按照地方标准制定程序要求，编制组于2026年</w:t>
      </w:r>
      <w:r>
        <w:rPr>
          <w:rFonts w:hint="eastAsia" w:ascii="仿宋_GB2312" w:hAnsi="仿宋_GB2312" w:eastAsia="仿宋_GB2312" w:cs="仿宋_GB2312"/>
          <w:kern w:val="0"/>
          <w:sz w:val="32"/>
          <w:szCs w:val="32"/>
          <w:lang w:val="en-US" w:eastAsia="zh-CN"/>
        </w:rPr>
        <w:t>7</w:t>
      </w:r>
      <w:r>
        <w:rPr>
          <w:rFonts w:hint="default" w:ascii="仿宋_GB2312" w:hAnsi="仿宋_GB2312" w:eastAsia="仿宋_GB2312" w:cs="仿宋_GB2312"/>
          <w:kern w:val="0"/>
          <w:sz w:val="32"/>
          <w:szCs w:val="32"/>
          <w:lang w:val="en-US" w:eastAsia="zh-CN"/>
        </w:rPr>
        <w:t>月</w:t>
      </w:r>
      <w:r>
        <w:rPr>
          <w:rFonts w:hint="eastAsia" w:ascii="仿宋_GB2312" w:hAnsi="仿宋_GB2312" w:eastAsia="仿宋_GB2312" w:cs="仿宋_GB2312"/>
          <w:kern w:val="0"/>
          <w:sz w:val="32"/>
          <w:szCs w:val="32"/>
          <w:lang w:val="en-US" w:eastAsia="zh-CN"/>
        </w:rPr>
        <w:t>1</w:t>
      </w:r>
      <w:r>
        <w:rPr>
          <w:rFonts w:hint="default" w:ascii="仿宋_GB2312" w:hAnsi="仿宋_GB2312" w:eastAsia="仿宋_GB2312" w:cs="仿宋_GB2312"/>
          <w:kern w:val="0"/>
          <w:sz w:val="32"/>
          <w:szCs w:val="32"/>
          <w:lang w:val="en-US" w:eastAsia="zh-CN"/>
        </w:rPr>
        <w:t>日开展了</w:t>
      </w:r>
      <w:r>
        <w:rPr>
          <w:rFonts w:hint="eastAsia" w:ascii="仿宋_GB2312" w:hAnsi="仿宋_GB2312" w:eastAsia="仿宋_GB2312" w:cs="仿宋_GB2312"/>
          <w:kern w:val="0"/>
          <w:sz w:val="32"/>
          <w:szCs w:val="32"/>
          <w:lang w:val="en-US" w:eastAsia="zh-CN"/>
        </w:rPr>
        <w:t>送审稿专家审查会</w:t>
      </w:r>
      <w:r>
        <w:rPr>
          <w:rFonts w:hint="default" w:ascii="仿宋_GB2312" w:hAnsi="仿宋_GB2312" w:eastAsia="仿宋_GB2312" w:cs="仿宋_GB2312"/>
          <w:kern w:val="0"/>
          <w:sz w:val="32"/>
          <w:szCs w:val="32"/>
          <w:lang w:val="en-US" w:eastAsia="zh-CN"/>
        </w:rPr>
        <w:t>。会议由山东省交通运输标准化技术委员会主持，邀请了来自</w:t>
      </w:r>
      <w:r>
        <w:rPr>
          <w:rFonts w:hint="eastAsia" w:ascii="仿宋_GB2312" w:hAnsi="仿宋_GB2312" w:eastAsia="仿宋_GB2312" w:cs="仿宋_GB2312"/>
          <w:kern w:val="0"/>
          <w:sz w:val="32"/>
          <w:szCs w:val="32"/>
          <w:lang w:val="en-US" w:eastAsia="zh-CN"/>
        </w:rPr>
        <w:t>桥梁</w:t>
      </w:r>
      <w:r>
        <w:rPr>
          <w:rFonts w:hint="default" w:ascii="仿宋_GB2312" w:hAnsi="仿宋_GB2312" w:eastAsia="仿宋_GB2312" w:cs="仿宋_GB2312"/>
          <w:kern w:val="0"/>
          <w:sz w:val="32"/>
          <w:szCs w:val="32"/>
          <w:lang w:val="en-US" w:eastAsia="zh-CN"/>
        </w:rPr>
        <w:t>工程、隧道工程、结构监测、标准化等领域的多名专家组成审查专家组。山东省交通运输厅相关部门代表出席了会议。经充分讨论和审议，审查专家组一致认为：该标准送审资料齐全，制定程序规范，符合地方标准审查要求；技术内容先进，指标参数合理可行，贴合工程实际适用性强，与现行标准协调衔接，实施后将为公路桥梁与隧道结构科学观测点建设提供技术支撑。专家组一致同意该标准通过送审稿审查</w:t>
      </w:r>
    </w:p>
    <w:p w14:paraId="68946E9D">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4" w:name="_Toc102660675"/>
      <w:r>
        <w:rPr>
          <w:rFonts w:hint="eastAsia" w:ascii="黑体" w:hAnsi="黑体" w:eastAsia="黑体" w:cs="黑体"/>
          <w:b w:val="0"/>
          <w:kern w:val="0"/>
          <w:sz w:val="32"/>
          <w:szCs w:val="32"/>
          <w:lang w:val="en-US" w:eastAsia="zh-CN"/>
        </w:rPr>
        <w:t>地方</w:t>
      </w:r>
      <w:r>
        <w:rPr>
          <w:rFonts w:hint="eastAsia" w:ascii="黑体" w:hAnsi="黑体" w:eastAsia="黑体" w:cs="黑体"/>
          <w:b w:val="0"/>
          <w:kern w:val="0"/>
          <w:sz w:val="32"/>
          <w:szCs w:val="32"/>
        </w:rPr>
        <w:t>标准制定的目的和意义</w:t>
      </w:r>
      <w:bookmarkEnd w:id="4"/>
    </w:p>
    <w:p w14:paraId="4F98D050">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落实《“十四五”国家科技创新规划》《交通领域科技创新中长期发展规划纲要（2021-2035年）》相关任务，统筹推进“十四五”交通领域科技创新发展，加快建设科技强国、交通强国，交通运输部、科学技术部联合制定了《“十四五”交通领域科技创新规划》（交科技发〔2022〕31号），其中“专栏1：交通基础设施长期性能科学观测网建设工程”是规划中重点研发任务，在“为工程结构安全、设计等技术标准完善、养护科学决策等提供基础数据和研发支撑”等方面具有重要意义。为落实《“十四五”交通领域科技创新规划》的重点研发任务，交通运输部先行组织了公路路基路面领域的观测点试点建设运行工作。</w:t>
      </w:r>
    </w:p>
    <w:p w14:paraId="3D4EBF3B">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解决长期性能观测不足、基础数据采集分析不够等问题，交通运输部科技司于2021年4月发布了《交通基础设施长期性能科学观测网建设方案（征求意见稿）》，对道路、桥梁、隧道等交通基础设施长期性能观测站的建设与科学观测网的部署提出了明确要求。2022年山东省人民政府发布了《山东省人民政府关于印发基础设施“七网”建设行动计划的通知》（鲁政字〔2022〕83号），其中“强化交通基础设施预防性养护维护、安全评估，加强长期性能观测”是“综合立体交通网建设行动计划”部分的重点任务内容。</w:t>
      </w:r>
    </w:p>
    <w:p w14:paraId="07CE6F28">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山东省交通运输厅发布了《山东省交通基础设施长期性能科学观测网建设方案》和《关于启动‘山东省交通基础设施长期性能科学观测网’建设工作的通知》，将编写交通基础设施长期性能科学观测网建设指南列入工作安排，并已先行组织开展了路基路面长期性能科学观测点的申报和建设运行工作。</w:t>
      </w:r>
    </w:p>
    <w:p w14:paraId="251FF61D">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路桥梁与隧道是公路交通基础设施的重要组成部分，桥隧长期性能科学观测点是交通基础设施长期性能科学观测网不可或缺的组成部分，制定本标准可以为观测点的建设工作进行规范和引导。综上所述，本标准的提出有明确的政策依据和支持。</w:t>
      </w:r>
    </w:p>
    <w:p w14:paraId="56317673">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5" w:name="_Toc102660676"/>
      <w:r>
        <w:rPr>
          <w:rFonts w:hint="eastAsia" w:ascii="黑体" w:hAnsi="黑体" w:eastAsia="黑体" w:cs="黑体"/>
          <w:b w:val="0"/>
          <w:kern w:val="0"/>
          <w:sz w:val="32"/>
          <w:szCs w:val="32"/>
          <w:lang w:val="en-US" w:eastAsia="zh-CN"/>
        </w:rPr>
        <w:t>地方</w:t>
      </w:r>
      <w:r>
        <w:rPr>
          <w:rFonts w:hint="eastAsia" w:ascii="黑体" w:hAnsi="黑体" w:eastAsia="黑体" w:cs="黑体"/>
          <w:b w:val="0"/>
          <w:kern w:val="0"/>
          <w:sz w:val="32"/>
          <w:szCs w:val="32"/>
        </w:rPr>
        <w:t>标准编制原则、主要技术内容和</w:t>
      </w:r>
      <w:r>
        <w:rPr>
          <w:rFonts w:hint="eastAsia" w:ascii="黑体" w:hAnsi="黑体" w:eastAsia="黑体" w:cs="黑体"/>
          <w:b w:val="0"/>
          <w:kern w:val="0"/>
          <w:sz w:val="32"/>
          <w:szCs w:val="32"/>
          <w:lang w:val="en-US" w:eastAsia="zh-CN"/>
        </w:rPr>
        <w:t>确定</w:t>
      </w:r>
      <w:r>
        <w:rPr>
          <w:rFonts w:hint="eastAsia" w:ascii="黑体" w:hAnsi="黑体" w:eastAsia="黑体" w:cs="黑体"/>
          <w:b w:val="0"/>
          <w:kern w:val="0"/>
          <w:sz w:val="32"/>
          <w:szCs w:val="32"/>
        </w:rPr>
        <w:t>依据</w:t>
      </w:r>
      <w:bookmarkEnd w:id="5"/>
    </w:p>
    <w:p w14:paraId="4299F14B">
      <w:pPr>
        <w:pStyle w:val="18"/>
        <w:numPr>
          <w:ilvl w:val="0"/>
          <w:numId w:val="3"/>
        </w:numPr>
        <w:spacing w:line="600" w:lineRule="exact"/>
        <w:ind w:firstLineChars="0"/>
        <w:outlineLvl w:val="1"/>
        <w:rPr>
          <w:rFonts w:hint="eastAsia" w:ascii="楷体_GB2312" w:eastAsia="楷体_GB2312"/>
          <w:sz w:val="32"/>
          <w:szCs w:val="32"/>
        </w:rPr>
      </w:pPr>
      <w:bookmarkStart w:id="6" w:name="_Toc102660677"/>
      <w:r>
        <w:rPr>
          <w:rFonts w:hint="eastAsia" w:ascii="楷体_GB2312" w:eastAsia="楷体_GB2312"/>
          <w:sz w:val="32"/>
          <w:szCs w:val="32"/>
        </w:rPr>
        <w:t>标准的编制原则</w:t>
      </w:r>
      <w:bookmarkEnd w:id="6"/>
    </w:p>
    <w:p w14:paraId="26CAAA15">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件的编制是在总结国内基础设施长期性能科学观测点建设的基础上，吸收了其成熟的技术和工艺，并结合山东省公路桥梁与隧道实际，制定本标准。本标准符合国家有关法律法规、强制性标准及相关政策要求。</w:t>
      </w:r>
    </w:p>
    <w:p w14:paraId="47EBA751">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本文件按照《标准化工作导则 第1部分：标准化文件的结构和起草规则》（GB/T 1.1-2020）的规定起草。</w:t>
      </w:r>
    </w:p>
    <w:p w14:paraId="367EB767">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在编写过程中突出了以下五项编写原则：</w:t>
      </w:r>
    </w:p>
    <w:p w14:paraId="364EB041">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（1）协调性原则。充分做好资料调研工作，做好与相关标准、规范的协调、衔接，保证本标准与《公路基础设施长期性能科学观测网 第一部分：建设规范》（JT/T 1504.1）、《公路桥梁结构监测技术规范》（JT/T 1037-2022）、《建筑与桥梁结构监测技术规范》（GB50982-2014）、《公路桥梁技术状况评定标准》（JT/T H21-2011）、《公路桥梁承载能力检测评定规程》（JT/T J21-2011）等相关标准统一性。</w:t>
      </w:r>
    </w:p>
    <w:p w14:paraId="03CC6C2F">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（2）可操作性原则。结合现省内已完工的实际工程及相关科研研究，起草的条文应明晰、规范，便于工程应用，规范内容应详细、明确，可操作性强。</w:t>
      </w:r>
    </w:p>
    <w:p w14:paraId="545EEDE3">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（3）成熟性原则。标准在充分技术论证或试验验证的基础上，在实际工程中加以验证，确保标准制定内容依据充分，理论正确，验证可信，确保技术成熟性、可靠性。</w:t>
      </w:r>
    </w:p>
    <w:p w14:paraId="58D8FAC0">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（4）指标合理性原则。标准中的指标应具有明确的针对性、实用性和现实性。</w:t>
      </w:r>
    </w:p>
    <w:p w14:paraId="17187710">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代表性和先进性原则。标准以我省已建公路桥梁与隧道长期性能科学观测点为依据，参考国内其他公路桥梁、隧道长期性能观测点建设相关经验，提出公路桥梁与隧道长期性能科学观测点设计、建设、验收及运维的相关指标要求。同时以近几年国内外研究成果和工程实践经验为依托，确保标准内容据实可行，更好地指导我省公路桥梁与隧道长期性能科学观测点的建设和推广，进而有利于行业的持续发展。</w:t>
      </w:r>
    </w:p>
    <w:p w14:paraId="209C5617">
      <w:pPr>
        <w:pStyle w:val="18"/>
        <w:numPr>
          <w:ilvl w:val="0"/>
          <w:numId w:val="3"/>
        </w:numPr>
        <w:spacing w:line="600" w:lineRule="exact"/>
        <w:ind w:firstLineChars="0"/>
        <w:outlineLvl w:val="1"/>
        <w:rPr>
          <w:rFonts w:hint="eastAsia" w:ascii="楷体_GB2312" w:eastAsia="楷体_GB2312"/>
          <w:sz w:val="32"/>
          <w:szCs w:val="32"/>
        </w:rPr>
      </w:pPr>
      <w:bookmarkStart w:id="7" w:name="_Toc102660678"/>
      <w:r>
        <w:rPr>
          <w:rFonts w:hint="eastAsia" w:ascii="楷体_GB2312" w:eastAsia="楷体_GB2312"/>
          <w:sz w:val="32"/>
          <w:szCs w:val="32"/>
        </w:rPr>
        <w:t>标准编写的主要</w:t>
      </w:r>
      <w:bookmarkEnd w:id="7"/>
      <w:r>
        <w:rPr>
          <w:rFonts w:hint="eastAsia" w:ascii="楷体_GB2312" w:eastAsia="楷体_GB2312"/>
          <w:sz w:val="32"/>
          <w:szCs w:val="32"/>
        </w:rPr>
        <w:t>技术内容和依据</w:t>
      </w:r>
    </w:p>
    <w:p w14:paraId="289F6974">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件旨在为山东省公路桥梁与隧道结构长期性能科学观测点的建设提供一套规范化、系统化、可操作化的技术规范。本文件的技术框架系统覆盖了观测点从顶层设计到具体实施，再到运行保障的全生命周期。框架设计遵循“总体要求-布局规划-分类建设-系统集成-验收维护”的逻辑主线。本文件共分为十个章节：范围、规范性引用文件、术语和定义、总体要求、建设布局和方案、桥梁观测点建设、隧道结构观测点建设、数据采集和传输系统安装、数据中心建设及验收与维护方法。以下是主要章节技术内容及依据。</w:t>
      </w:r>
    </w:p>
    <w:p w14:paraId="621EECB5">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 范围</w:t>
      </w:r>
    </w:p>
    <w:p w14:paraId="60DFF3C0">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件规定了公路桥梁与隧道结构长期性能科学观测点（简称“长期性能观测点”）的总体要求、观测点建设布局和方案、桥梁结构观测点建设、隧道结构观测点建设、数据采集和传输系统安装、数据中心建设、验收与维护等要求，描述了对应的检验与证实方法。</w:t>
      </w:r>
    </w:p>
    <w:p w14:paraId="0712FDA1">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本文件适用于公路桥梁与隧道结构长期性能科学观测点的建设工作</w:t>
      </w:r>
      <w:r>
        <w:rPr>
          <w:rFonts w:ascii="仿宋_GB2312" w:hAnsi="仿宋_GB2312" w:eastAsia="仿宋_GB2312" w:cs="仿宋_GB2312"/>
          <w:kern w:val="0"/>
          <w:sz w:val="32"/>
          <w:szCs w:val="32"/>
        </w:rPr>
        <w:t>。</w:t>
      </w:r>
    </w:p>
    <w:p w14:paraId="41BA4595">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 规范性引用文件</w:t>
      </w:r>
    </w:p>
    <w:p w14:paraId="6559E88F">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参考了国内外相关的标准，其目的主要从两个层面考虑，一个层面是吻合国家现有相关标准，充分利用现有国家标准的基础；另一个层面是充分结合山东省现有地方标准的要求，与山东省地方特色保持一致。基于以上两个层面和标准文本中涉及的有关标准内容，列出了该标准引用的主要标准。</w:t>
      </w:r>
    </w:p>
    <w:p w14:paraId="6400F798">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3 术语和定义</w:t>
      </w:r>
    </w:p>
    <w:p w14:paraId="31978A87">
      <w:pPr>
        <w:snapToGrid w:val="0"/>
        <w:spacing w:line="288" w:lineRule="auto"/>
        <w:ind w:firstLine="640" w:firstLineChars="200"/>
        <w:contextualSpacing/>
        <w:rPr>
          <w:rFonts w:hint="default" w:ascii="Times New Roman" w:hAnsi="Times New Roman" w:eastAsia="仿宋_GB2312" w:cs="Times New Roman"/>
          <w:kern w:val="0"/>
          <w:sz w:val="32"/>
          <w:szCs w:val="32"/>
        </w:rPr>
      </w:pPr>
      <w:r>
        <w:rPr>
          <w:rFonts w:eastAsia="仿宋_GB2312"/>
          <w:kern w:val="0"/>
          <w:sz w:val="32"/>
          <w:szCs w:val="32"/>
        </w:rPr>
        <w:t>为</w:t>
      </w:r>
      <w:r>
        <w:rPr>
          <w:rFonts w:hint="default" w:ascii="Times New Roman" w:hAnsi="Times New Roman" w:eastAsia="仿宋_GB2312" w:cs="Times New Roman"/>
          <w:kern w:val="0"/>
          <w:sz w:val="32"/>
          <w:szCs w:val="32"/>
        </w:rPr>
        <w:t>了方便标准的使用和体现便捷性，本标准依据相关国家标准，对本标准中涉及的“长期性能科学观测点”、“观测对象”、“数据中心”概念基于本标准的标准化对象和范围进行了技术性概述或改写。</w:t>
      </w:r>
    </w:p>
    <w:p w14:paraId="069D4A5B">
      <w:pPr>
        <w:ind w:firstLine="643" w:firstLineChars="200"/>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4 总体要求</w:t>
      </w:r>
    </w:p>
    <w:p w14:paraId="24EFB687">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4.1 技术内容</w:t>
      </w:r>
    </w:p>
    <w:p w14:paraId="4503022A">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提出了传感器选型与布设、时间同步、数据质量控制、特殊区段专项观测、全寿命周期成本理念、可维护性与可扩展性、数据质量评估等9项总体要求。</w:t>
      </w:r>
    </w:p>
    <w:p w14:paraId="04FA1892">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4.2 确定依据</w:t>
      </w:r>
    </w:p>
    <w:p w14:paraId="1CA9D62C">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（1）传感器选型与布设：参考JT/T 1037《公路桥梁结构监测技术规范》和JT/T 1504.1，结合桥隧长期观测对稳定性和耐久性的特殊需求，明确了“设计使用寿命宜与观测期相匹配”的要求。</w:t>
      </w:r>
    </w:p>
    <w:p w14:paraId="32BFFEF0">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（2）时间同步：采用北斗卫星导航系统等时间同步技术，确保多源数据时间基准统一，符合国家对关键基础设施自主可控的要求。</w:t>
      </w:r>
    </w:p>
    <w:p w14:paraId="1F7C9A43">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（3）特殊区段专项观测：针对山东省采空区、高烈度地震区、腐蚀环境等典型地质与气候特征，提出专项观测要求，体现地方标准的地域针对性。</w:t>
      </w:r>
    </w:p>
    <w:p w14:paraId="27276F78">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（4）全寿命周期成本理念：强调可维护性、可扩展性和模块化设计，旨在降低长期运营成本，保障观测点可持续运行。</w:t>
      </w:r>
    </w:p>
    <w:p w14:paraId="4D3E23A1">
      <w:pPr>
        <w:spacing w:line="55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（5）数据质量评估：建立数据质量评估与标识机制，关键数据人工复核，确保用于分析决策的数据真实有效，填补了现行标准在数据质量控制方面的空白。</w:t>
      </w:r>
    </w:p>
    <w:p w14:paraId="63E9C21C">
      <w:pPr>
        <w:ind w:firstLine="643" w:firstLineChars="200"/>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5.建设布局和方案</w:t>
      </w:r>
    </w:p>
    <w:p w14:paraId="545A6DCA">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5.1 技术内容</w:t>
      </w:r>
    </w:p>
    <w:p w14:paraId="5EFC8917">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（1）建设布局：明确布局应考虑气候环境、地质条件、结构类型、荷载类型、病害特征等因素，并与既有监测设施统筹协调。</w:t>
      </w:r>
    </w:p>
    <w:p w14:paraId="530FA2B2">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（2）建设方案：要求明确系统构成、技术指标、实施计划与保障机制，新建工程应与主体工程“三同步”，运营期工程应评估既有质量缺陷。</w:t>
      </w:r>
    </w:p>
    <w:p w14:paraId="7ADB0C8B">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5.2确定依据</w:t>
      </w:r>
    </w:p>
    <w:p w14:paraId="750FBE7D">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（1）布局原则：参考JT/T 1504.1中关于观测网布局的要求，结合山东省桥隧分布特点和管养实际，强调与既有监测设施的数据共享与业务协同，避免重复建设。</w:t>
      </w:r>
    </w:p>
    <w:p w14:paraId="1AC4A9EA">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（2）新建工程“三同步”：借鉴工程建设领域“同步设计、同步施工、同步验收”的成功经验，确保观测点建设与主体工程深度融合，降低后期改造难度和成本。</w:t>
      </w:r>
    </w:p>
    <w:p w14:paraId="0162ABDD">
      <w:pPr>
        <w:spacing w:line="55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（3）运营期工程：针对运营期桥隧存在的既有质量缺陷，提出“设立专项测点，观测其长期劣化演化过程”的要求，为病害演变规律研究提供数据支撑。</w:t>
      </w:r>
    </w:p>
    <w:p w14:paraId="3F790F3B">
      <w:pPr>
        <w:ind w:firstLine="643" w:firstLineChars="200"/>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6 桥梁观测点建设</w:t>
      </w:r>
    </w:p>
    <w:p w14:paraId="635ABBD1">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6.1技术内容</w:t>
      </w:r>
    </w:p>
    <w:p w14:paraId="72404107">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共17条，涵盖一般要求及气象站、温湿度、交通荷载、风速风向、地震动、基础冲刷、应变、位移、转角、振动、索力、支座反力、裂缝、氯离子侵蚀、钢构件腐蚀、人工巡检等16类观测项目。</w:t>
      </w:r>
    </w:p>
    <w:p w14:paraId="53D46261">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6.2确定依据</w:t>
      </w:r>
    </w:p>
    <w:p w14:paraId="35D6643E">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观测项目配置：以揭示结构长期性能演化规律、评估服役安全性与耐久性为目标，重点观测控制结构安全、适用性和耐久性的关键参数。不同桥型的测点布设（如梁式桥主梁跨中、拱桥拱顶、斜拉桥索塔等）参照JT/T 1037，并结合山东省桥隧结构特点进行了优化。</w:t>
      </w:r>
    </w:p>
    <w:p w14:paraId="2C2079ED">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（2）基础冲刷：针对山东省跨水域桥梁多、水文条件复杂的特点，细化了声学测深、雷达测速等具体技术指标（如雷达法测速分辨率不低于0.01 m/s），并增加了高含沙量、高掺气水流条件下冗余观测的要求。</w:t>
      </w:r>
    </w:p>
    <w:p w14:paraId="73839153">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（3）氯离子侵蚀与钢构件腐蚀：针对山东省沿海及冰盐环境下桥梁的耐久性问题，设置了混凝土氯离子侵蚀观测和钢构件腐蚀观测的专项要求，填补了现行监测规范对长期耐久性观测的不足。</w:t>
      </w:r>
    </w:p>
    <w:p w14:paraId="6D6FC927">
      <w:pPr>
        <w:spacing w:line="55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（4）人工观测与巡检：明确与JTG 5120《公路桥涵养护规范》的衔接，强调巡检结果应数字化归档，实现自动化监测与人工巡检数据融合管理。</w:t>
      </w:r>
    </w:p>
    <w:p w14:paraId="799D9711">
      <w:pPr>
        <w:ind w:firstLine="643" w:firstLineChars="200"/>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7 隧道结构观测点建设</w:t>
      </w:r>
    </w:p>
    <w:p w14:paraId="25B1D63F">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7.1技术内容</w:t>
      </w:r>
    </w:p>
    <w:p w14:paraId="45842A99">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共10条，涵盖一般要求及气象站、交通荷载、隧道温湿度、围岩压力与地下水压力、衬砌应变、结构变形与位移、裂缝、结构锈蚀、人工巡检等观测项目。</w:t>
      </w:r>
    </w:p>
    <w:p w14:paraId="5475434F">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7.2确定依据</w:t>
      </w:r>
    </w:p>
    <w:p w14:paraId="49D60802">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（1）观测断面选择：依据JTG H12《公路隧道养护技术规范》及工程实践，明确在偏压区、断层破碎带、地下水丰富区、明暗交界段等特殊地段设置观测断面，在洞口段、浅埋段增设观测断面，确保观测断面具有代表性和风险针对性。</w:t>
      </w:r>
    </w:p>
    <w:p w14:paraId="5EB83F57">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围岩压力与地下水压力：参考现行隧道监测技术规范，明确了土压力盒数量（每断面不少于5个）、量程（不小于设计值的2倍）及采集频率（开挖初期1~2次/天），数据指标经过编制组对山东省典型隧道地质条件的验证。</w:t>
      </w:r>
    </w:p>
    <w:p w14:paraId="0F95BDA6">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3）结构变形与位移：针对隧道长期性能观测需求，明确了洞内收敛与拱顶下沉观测断面的布设原则，并强调优先采用自动化数据采集技术。在异常工况下（如超预警阈值、极端天气）要求采集频率提升至1次/小时，体现了对结构安全的重点关注。</w:t>
      </w:r>
    </w:p>
    <w:p w14:paraId="1E2B5CAF">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（4）裂缝观测：对活动裂缝要求安装裂缝计进行自动连续观测，采样频率不低于1次/天，比现行养护规范要求更为严格，旨在捕捉裂缝长期发展规律。</w:t>
      </w:r>
    </w:p>
    <w:p w14:paraId="365E44C7">
      <w:pPr>
        <w:ind w:firstLine="643" w:firstLineChars="200"/>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8 数据采集和传输系统安装</w:t>
      </w:r>
    </w:p>
    <w:p w14:paraId="70EC822D">
      <w:pPr>
        <w:spacing w:line="550" w:lineRule="exact"/>
        <w:ind w:firstLine="640" w:firstLineChars="200"/>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8.1技术内容</w:t>
      </w:r>
    </w:p>
    <w:p w14:paraId="000381F1">
      <w:pPr>
        <w:spacing w:line="550" w:lineRule="exact"/>
        <w:ind w:firstLine="640" w:firstLineChars="200"/>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涵盖观测机柜（房）、设备管理系统、供电系统、数据采集、人工观测数据录入、数据传输等6项内容。</w:t>
      </w:r>
    </w:p>
    <w:p w14:paraId="6DF6D44B">
      <w:pPr>
        <w:spacing w:line="550" w:lineRule="exact"/>
        <w:ind w:firstLine="640" w:firstLineChars="200"/>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8.2确定依据</w:t>
      </w:r>
    </w:p>
    <w:p w14:paraId="3C2692B7">
      <w:pPr>
        <w:spacing w:line="550" w:lineRule="exact"/>
        <w:ind w:firstLine="640" w:firstLineChars="200"/>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（1）观测机柜（房）：强调选址应综合考虑通信、供电及施工可行性，优先利用隧道机电房，体现集约化建设理念。防护要求（防水、防潮、防雷、防盗、生物防护）结合野外长期运行的实际需要制定。</w:t>
      </w:r>
    </w:p>
    <w:p w14:paraId="0FD1FAA0">
      <w:pPr>
        <w:spacing w:line="550" w:lineRule="exact"/>
        <w:ind w:firstLine="640" w:firstLineChars="200"/>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2）数据采集：要求采集通道数量不低于传感器数量的120%，为后期扩展和通道冗余预留空间。本地存储能力不少于3个月数据量，确保在通信中断时不丢失数据。数据同步备份至云端或远程数据中心，保障数据安全。</w:t>
      </w:r>
    </w:p>
    <w:p w14:paraId="7808DC30">
      <w:pPr>
        <w:spacing w:line="550" w:lineRule="exact"/>
        <w:ind w:firstLine="640" w:firstLineChars="200"/>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（3）数据传输：优先推荐有线传输，确保稳定性；使用无线传输时强调防雷、防雨雪设计。当存储量接近80%时触发数据上传，防止存储溢出。</w:t>
      </w:r>
    </w:p>
    <w:p w14:paraId="32728AB7">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9 数据中心建设</w:t>
      </w:r>
    </w:p>
    <w:p w14:paraId="39420E85">
      <w:pPr>
        <w:spacing w:line="55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9.1技术内容</w:t>
      </w:r>
    </w:p>
    <w:p w14:paraId="598675D7">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涵盖一般要求、硬件建设、软件建设等3项内容。</w:t>
      </w:r>
    </w:p>
    <w:p w14:paraId="58C548D8">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9.2确定依据</w:t>
      </w:r>
    </w:p>
    <w:p w14:paraId="21367D72">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（1）硬件建设：数据中心机房按照GB 50174中C级及以上要求建设，网络安全按GB/T 22239中二级及以上要求防护，确保数据安全和系统稳定。双备份服务器、在线双备份、离线单备份、异地备份等要求，体现了数据容灾备份的理念。</w:t>
      </w:r>
    </w:p>
    <w:p w14:paraId="05293D28">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（2）容量规划：首期建设容量按所有观测点年数据量的3~5倍规划设计，考虑未来扩展需求，避免频繁扩容。</w:t>
      </w:r>
    </w:p>
    <w:p w14:paraId="5FD495D5">
      <w:pPr>
        <w:spacing w:line="550" w:lineRule="exact"/>
        <w:ind w:firstLine="640" w:firstLineChars="200"/>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（3）软件建设：明确原始数据汇交、元数据汇交、数据质量评估与清洗等功能要求，为数据长期管理和开放共享奠定基础。</w:t>
      </w:r>
    </w:p>
    <w:p w14:paraId="6146F1D8">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10 验收与维护</w:t>
      </w:r>
    </w:p>
    <w:p w14:paraId="4BBC824B">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10.1</w:t>
      </w:r>
      <w:r>
        <w:rPr>
          <w:rFonts w:hint="eastAsia" w:ascii="仿宋_GB2312" w:hAnsi="仿宋_GB2312" w:eastAsia="仿宋_GB2312" w:cs="仿宋_GB2312"/>
          <w:kern w:val="0"/>
          <w:sz w:val="32"/>
          <w:szCs w:val="32"/>
        </w:rPr>
        <w:t>主要技术内容</w:t>
      </w:r>
    </w:p>
    <w:p w14:paraId="10897E68">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明确验收应符合JT/T 1504.1的相关规定，细化日常、定期和专项巡检制度，提出传感器检定或校准周期（关键受力、位移传感器每12个月校准一次，环境类传感器每24个月校准一次），以及硬件更换要求。</w:t>
      </w:r>
    </w:p>
    <w:p w14:paraId="632502DD">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10.2确定</w:t>
      </w:r>
      <w:r>
        <w:rPr>
          <w:rFonts w:hint="eastAsia" w:ascii="仿宋_GB2312" w:hAnsi="仿宋_GB2312" w:eastAsia="仿宋_GB2312" w:cs="仿宋_GB2312"/>
          <w:kern w:val="0"/>
          <w:sz w:val="32"/>
          <w:szCs w:val="32"/>
        </w:rPr>
        <w:t>依据</w:t>
      </w:r>
    </w:p>
    <w:p w14:paraId="42D1249A">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校准周期：参考传感器行业标准和工程实践，结合长期观测对数据精度的要求，分类设定了校准周期。对关键受力、位移传感器要求每年校准，确保结构安全监测数据的可靠性。</w:t>
      </w:r>
    </w:p>
    <w:p w14:paraId="4E27250A">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性能验证：要求通过与相邻传感器数据比对、历史趋势线比对、便携式参考仪器现场比对等方式进行数据可靠性验证，建立了多元校验机制。</w:t>
      </w:r>
    </w:p>
    <w:p w14:paraId="26E5E42D">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硬件更换：要求更换设备时保障数据连续，并使用同性能设备原位更换，确保观测数据序列的连续性和一致性。</w:t>
      </w:r>
    </w:p>
    <w:p w14:paraId="7F72317B">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8" w:name="_Toc102660680"/>
      <w:r>
        <w:rPr>
          <w:rFonts w:hint="eastAsia" w:ascii="黑体" w:hAnsi="黑体" w:eastAsia="黑体" w:cs="黑体"/>
          <w:b w:val="0"/>
          <w:kern w:val="0"/>
          <w:sz w:val="32"/>
          <w:szCs w:val="32"/>
          <w:lang w:val="en-US" w:eastAsia="zh-CN"/>
        </w:rPr>
        <w:t>试验验证的分析、综述报告，预期的经济、社会和生态效益</w:t>
      </w:r>
    </w:p>
    <w:p w14:paraId="7BFF1B59">
      <w:pPr>
        <w:pStyle w:val="18"/>
        <w:numPr>
          <w:ilvl w:val="0"/>
          <w:numId w:val="4"/>
        </w:numPr>
        <w:spacing w:line="600" w:lineRule="exact"/>
        <w:ind w:firstLineChars="0"/>
        <w:outlineLvl w:val="1"/>
        <w:rPr>
          <w:rFonts w:hint="default" w:ascii="楷体_GB2312" w:eastAsia="楷体_GB2312"/>
          <w:sz w:val="32"/>
          <w:szCs w:val="32"/>
          <w:lang w:val="en-US" w:eastAsia="zh-CN"/>
        </w:rPr>
      </w:pPr>
      <w:r>
        <w:rPr>
          <w:rFonts w:hint="eastAsia" w:ascii="楷体_GB2312" w:eastAsia="楷体_GB2312"/>
          <w:sz w:val="32"/>
          <w:szCs w:val="32"/>
          <w:lang w:val="en-US" w:eastAsia="zh-CN"/>
        </w:rPr>
        <w:t>试验验证的分析</w:t>
      </w:r>
    </w:p>
    <w:p w14:paraId="10A43730">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确保本文件中规定的技术指标（包括传感器选型、布设方案、数据采集频率、量程要求等）的科学性、合理性和可操作性，编制组依托山东省内胶州湾大桥、济南黄河第二公路大桥、沾临黄河特大桥、临临高速鲁山隧道等重点桥隧结构开展了系统的试验验证工作，由省交通厅支持，在2023年设立了省级长期性能观测点，已连续环境、荷载、结构响应、结构变化等关键数据超过30个月，积累了丰富的实测数据。经过对数据的分析，本文件规定的观测点建设相关技术指标均具有充分的技术依据，能够满足山东省公路桥梁、隧道结构长期性能科学观测点建设的实际需求。各项指标与现行国家标准、行业标准相协调，在部分指标上结合山东省隧道特点进行了优化，经实测验证合理可行。</w:t>
      </w:r>
    </w:p>
    <w:p w14:paraId="06CD5566">
      <w:pPr>
        <w:pStyle w:val="18"/>
        <w:numPr>
          <w:ilvl w:val="0"/>
          <w:numId w:val="4"/>
        </w:numPr>
        <w:spacing w:line="600" w:lineRule="exact"/>
        <w:ind w:firstLineChars="0"/>
        <w:outlineLvl w:val="1"/>
        <w:rPr>
          <w:rFonts w:hint="eastAsia" w:ascii="楷体_GB2312" w:eastAsia="楷体_GB2312"/>
          <w:sz w:val="32"/>
          <w:szCs w:val="32"/>
        </w:rPr>
      </w:pPr>
      <w:r>
        <w:rPr>
          <w:rFonts w:hint="eastAsia" w:ascii="楷体_GB2312" w:eastAsia="楷体_GB2312"/>
          <w:sz w:val="32"/>
          <w:szCs w:val="32"/>
        </w:rPr>
        <w:t>经济效益</w:t>
      </w:r>
    </w:p>
    <w:p w14:paraId="2A13629C">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1.降低全寿命周期养护成本</w:t>
      </w:r>
    </w:p>
    <w:p w14:paraId="2D474133">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通过标准化、高质量的长期性能观测，可实时掌握结构健康状况，实现从“故障后修复”的被动养护向“预测性、预防性”的主动养护转变。这能大幅减少因小病害发展为重大结构性损伤而产生的昂贵修复费用，并避免交通中断导致的间接经济损失。观测数据为养护决策提供科学依据，使有限的养护资金投向最急需、最关键的项目，提高资金使用效率。</w:t>
      </w:r>
    </w:p>
    <w:p w14:paraId="360D2E21">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2.优化未来工程设计与标准</w:t>
      </w:r>
    </w:p>
    <w:p w14:paraId="6ACAA242">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长期性能观测积累的真实、可靠数据，是验证和修正现有设计理论、模型与荷载标准的最宝贵资源。基于长期性能数据的反馈，未来新建工程的设计可以更加精准、经济，有望在保证安全的前提下，优化材料用量和构造，从源头上降低工程建设成本。</w:t>
      </w:r>
    </w:p>
    <w:p w14:paraId="1A6849CE">
      <w:pPr>
        <w:pStyle w:val="18"/>
        <w:numPr>
          <w:ilvl w:val="0"/>
          <w:numId w:val="4"/>
        </w:numPr>
        <w:spacing w:line="600" w:lineRule="exact"/>
        <w:ind w:firstLineChars="0"/>
        <w:outlineLvl w:val="1"/>
        <w:rPr>
          <w:rFonts w:hint="eastAsia" w:ascii="楷体_GB2312" w:eastAsia="楷体_GB2312"/>
          <w:sz w:val="32"/>
          <w:szCs w:val="32"/>
        </w:rPr>
      </w:pPr>
      <w:r>
        <w:rPr>
          <w:rFonts w:hint="eastAsia" w:ascii="楷体_GB2312" w:eastAsia="楷体_GB2312"/>
          <w:sz w:val="32"/>
          <w:szCs w:val="32"/>
        </w:rPr>
        <w:t>社会效益</w:t>
      </w:r>
    </w:p>
    <w:p w14:paraId="009CBAD9">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1.全面提升公共交通安全保障水平</w:t>
      </w:r>
    </w:p>
    <w:p w14:paraId="3B3DD653">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本标准推动建立的长期性能观测，能够对结构异常、潜在风险进行早期预警，为应急处置赢得宝贵时间，极大降低因结构性能退化导致交通安全事故的社会风险，保障人民群众生命财产安全，是建设“平安交通”的重要技术支撑。</w:t>
      </w:r>
    </w:p>
    <w:p w14:paraId="3DDAA8FE">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2.引领行业技术进步与人才培养</w:t>
      </w:r>
    </w:p>
    <w:p w14:paraId="0113A018">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本标准系统集成了传感、通信、数据科学等现代技术，其推广应用将有力带动我省在基础设施智能监测、大数据分析等领域的技术研发和产业升级。同时，标准的实施过程也将培养和锻炼一批兼具土木工程与信息技术知识的复合型专业技术人才，为行业高质量发展储备力量</w:t>
      </w:r>
      <w:r>
        <w:rPr>
          <w:rFonts w:hint="eastAsia" w:ascii="仿宋_GB2312" w:hAnsi="仿宋_GB2312" w:eastAsia="仿宋_GB2312" w:cs="仿宋_GB2312"/>
          <w:kern w:val="0"/>
          <w:sz w:val="32"/>
          <w:szCs w:val="32"/>
        </w:rPr>
        <w:t>。</w:t>
      </w:r>
    </w:p>
    <w:p w14:paraId="43BE6E0F">
      <w:pPr>
        <w:pStyle w:val="18"/>
        <w:numPr>
          <w:ilvl w:val="0"/>
          <w:numId w:val="4"/>
        </w:numPr>
        <w:spacing w:line="600" w:lineRule="exact"/>
        <w:ind w:firstLineChars="0"/>
        <w:outlineLvl w:val="1"/>
        <w:rPr>
          <w:rFonts w:hint="eastAsia" w:ascii="楷体_GB2312" w:eastAsia="楷体_GB2312"/>
          <w:sz w:val="32"/>
          <w:szCs w:val="32"/>
        </w:rPr>
      </w:pPr>
      <w:r>
        <w:rPr>
          <w:rFonts w:hint="eastAsia" w:ascii="楷体_GB2312" w:eastAsia="楷体_GB2312"/>
          <w:sz w:val="32"/>
          <w:szCs w:val="32"/>
        </w:rPr>
        <w:t>生态效益</w:t>
      </w:r>
    </w:p>
    <w:p w14:paraId="42E128F7">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1.促进资源节约与低碳发展</w:t>
      </w:r>
    </w:p>
    <w:p w14:paraId="6B430AC5">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延长结构使用寿命本身即是最有效的资源节约和废弃物减量。预防性养护减少了大规模维修重建所带来的大量建材消耗、能源消耗和建筑垃圾排放。此外，基于数据的精准养护避免了过度施工，减少了施工活动对环境（如噪声、扬尘）的扰动</w:t>
      </w:r>
      <w:r>
        <w:rPr>
          <w:rFonts w:hint="eastAsia" w:ascii="仿宋_GB2312" w:hAnsi="仿宋_GB2312" w:eastAsia="仿宋_GB2312" w:cs="仿宋_GB2312"/>
          <w:kern w:val="0"/>
          <w:sz w:val="32"/>
          <w:szCs w:val="32"/>
        </w:rPr>
        <w:t>。</w:t>
      </w:r>
    </w:p>
    <w:p w14:paraId="754AAEF9">
      <w:pPr>
        <w:ind w:firstLine="643" w:firstLineChars="200"/>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2.支持绿色养护技术评估与应用</w:t>
      </w:r>
    </w:p>
    <w:p w14:paraId="63BF28F2">
      <w:pPr>
        <w:spacing w:line="55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长期性能观测数据为评估新型环保材料、绿色加固工艺的实际效果提供了客观、长期的验证平台，有助于筛选和推广真正高效、耐久、环境友好的养护技术与材料，推动交通基础设施养护向绿色、低碳方向转型</w:t>
      </w:r>
      <w:r>
        <w:rPr>
          <w:rFonts w:hint="eastAsia" w:ascii="仿宋_GB2312" w:hAnsi="仿宋_GB2312" w:eastAsia="仿宋_GB2312" w:cs="仿宋_GB2312"/>
          <w:kern w:val="0"/>
          <w:sz w:val="32"/>
          <w:szCs w:val="32"/>
        </w:rPr>
        <w:t>。</w:t>
      </w:r>
    </w:p>
    <w:p w14:paraId="3CFB530C">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r>
        <w:rPr>
          <w:rFonts w:hint="eastAsia" w:ascii="黑体" w:hAnsi="黑体" w:eastAsia="黑体" w:cs="黑体"/>
          <w:b w:val="0"/>
          <w:kern w:val="0"/>
          <w:sz w:val="32"/>
          <w:szCs w:val="32"/>
        </w:rPr>
        <w:t>与现行相关法律、法规</w:t>
      </w:r>
      <w:r>
        <w:rPr>
          <w:rFonts w:hint="eastAsia" w:ascii="黑体" w:hAnsi="黑体" w:eastAsia="黑体" w:cs="黑体"/>
          <w:b w:val="0"/>
          <w:kern w:val="0"/>
          <w:sz w:val="32"/>
          <w:szCs w:val="32"/>
          <w:lang w:eastAsia="zh-CN"/>
        </w:rPr>
        <w:t>、</w:t>
      </w:r>
      <w:r>
        <w:rPr>
          <w:rFonts w:hint="eastAsia" w:ascii="黑体" w:hAnsi="黑体" w:eastAsia="黑体" w:cs="黑体"/>
          <w:b w:val="0"/>
          <w:kern w:val="0"/>
          <w:sz w:val="32"/>
          <w:szCs w:val="32"/>
          <w:lang w:val="en-US" w:eastAsia="zh-CN"/>
        </w:rPr>
        <w:t>规章</w:t>
      </w:r>
      <w:r>
        <w:rPr>
          <w:rFonts w:hint="eastAsia" w:ascii="黑体" w:hAnsi="黑体" w:eastAsia="黑体" w:cs="黑体"/>
          <w:b w:val="0"/>
          <w:kern w:val="0"/>
          <w:sz w:val="32"/>
          <w:szCs w:val="32"/>
        </w:rPr>
        <w:t>和其他标准的关系</w:t>
      </w:r>
      <w:bookmarkEnd w:id="8"/>
    </w:p>
    <w:p w14:paraId="753BB340">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目前，与隧道长期性能科学观测相关的国家标准、行业标准有《公路桥梁结构监测技术规范》（JT/T 1037-2022）、《建筑与桥梁结构监测技术规范》（GB50982-2014）、《公路基础设施长期性能科学观测网 第一部分：建设规范》（JT/T 1504.1）等，这些标准针对大跨度桥梁或结构特殊的其他桥梁结构安全监测在系统设计、建设、运维、设备选型、技术要求、数据采集、传输、管理、存储等方面进行完备的规定。《公路桥梁技术状况评定标准》（JT/T H21-2011）、《公路桥梁承载能力检测评定规程》（JT/T J21-2011）等，对桥梁定期检测与技术状况评价等方面的方法和流程进行规定。本标准与这些相关标准一致不冲突。</w:t>
      </w:r>
    </w:p>
    <w:p w14:paraId="763D7ACA">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9" w:name="_Toc102660681"/>
      <w:r>
        <w:rPr>
          <w:rFonts w:hint="eastAsia" w:ascii="黑体" w:hAnsi="黑体" w:eastAsia="黑体" w:cs="黑体"/>
          <w:b w:val="0"/>
          <w:kern w:val="0"/>
          <w:sz w:val="32"/>
          <w:szCs w:val="32"/>
        </w:rPr>
        <w:t>重大分歧意见的处理过程、处理意见及其依据</w:t>
      </w:r>
      <w:bookmarkEnd w:id="9"/>
    </w:p>
    <w:p w14:paraId="2F9CA107">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本文件无重大分歧意见。</w:t>
      </w:r>
    </w:p>
    <w:p w14:paraId="645E1E37">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10" w:name="_Toc102660682"/>
      <w:r>
        <w:rPr>
          <w:rFonts w:hint="eastAsia" w:ascii="黑体" w:hAnsi="黑体" w:eastAsia="黑体" w:cs="黑体"/>
          <w:b w:val="0"/>
          <w:kern w:val="0"/>
          <w:sz w:val="32"/>
          <w:szCs w:val="32"/>
          <w:lang w:val="en-US" w:eastAsia="zh-CN"/>
        </w:rPr>
        <w:t>公平竞争审查结论</w:t>
      </w:r>
    </w:p>
    <w:p w14:paraId="6ABBE062">
      <w:pPr>
        <w:spacing w:line="550" w:lineRule="exact"/>
        <w:ind w:firstLine="640" w:firstLineChars="200"/>
        <w:rPr>
          <w:rFonts w:hint="default" w:ascii="仿宋_GB2312" w:hAnsi="仿宋_GB2312" w:eastAsia="仿宋_GB2312" w:cs="仿宋_GB2312"/>
          <w:kern w:val="0"/>
          <w:sz w:val="32"/>
          <w:szCs w:val="32"/>
          <w:lang w:val="en-US" w:eastAsia="zh-CN"/>
        </w:rPr>
      </w:pPr>
    </w:p>
    <w:bookmarkEnd w:id="10"/>
    <w:p w14:paraId="26DA56F2">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r>
        <w:rPr>
          <w:rFonts w:hint="eastAsia" w:ascii="黑体" w:hAnsi="黑体" w:eastAsia="黑体" w:cs="黑体"/>
          <w:b w:val="0"/>
          <w:kern w:val="0"/>
          <w:sz w:val="32"/>
          <w:szCs w:val="32"/>
        </w:rPr>
        <w:t>实施地方标准的要求，以及组织措施、技术措施、过渡期和实施日期的建议等措施建议</w:t>
      </w:r>
    </w:p>
    <w:p w14:paraId="21464DBE">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建议过渡期是1个月。</w:t>
      </w:r>
    </w:p>
    <w:p w14:paraId="212144F9">
      <w:pPr>
        <w:spacing w:line="55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工程单位是标准实施的主体，为确保其准确理解、掌握和执行标准，规范公路桥梁与隧道长期性能科学观测点建设规范的实施，标准发布后将向标准实施主体进行推广和宣贯，推动标准的落地实施。预计此项工作需要1个月的时间。</w:t>
      </w:r>
    </w:p>
    <w:p w14:paraId="404A85B1">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11" w:name="_Toc102660683"/>
      <w:r>
        <w:rPr>
          <w:rFonts w:hint="eastAsia" w:ascii="黑体" w:hAnsi="黑体" w:eastAsia="黑体" w:cs="黑体"/>
          <w:b w:val="0"/>
          <w:kern w:val="0"/>
          <w:sz w:val="32"/>
          <w:szCs w:val="32"/>
          <w:lang w:val="en-US" w:eastAsia="zh-CN"/>
        </w:rPr>
        <w:t>涉及专利的有关说明</w:t>
      </w:r>
    </w:p>
    <w:bookmarkEnd w:id="11"/>
    <w:p w14:paraId="37903874">
      <w:pPr>
        <w:spacing w:line="55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无</w:t>
      </w:r>
    </w:p>
    <w:p w14:paraId="6FA46A95">
      <w:pPr>
        <w:pStyle w:val="2"/>
        <w:keepNext w:val="0"/>
        <w:keepLines w:val="0"/>
        <w:widowControl/>
        <w:numPr>
          <w:ilvl w:val="0"/>
          <w:numId w:val="1"/>
        </w:numPr>
        <w:tabs>
          <w:tab w:val="left" w:pos="0"/>
          <w:tab w:val="left" w:pos="360"/>
        </w:tabs>
        <w:spacing w:before="0" w:after="0" w:line="600" w:lineRule="exact"/>
        <w:ind w:left="0" w:firstLine="0"/>
        <w:rPr>
          <w:rFonts w:hint="eastAsia" w:ascii="黑体" w:hAnsi="黑体" w:eastAsia="黑体" w:cs="黑体"/>
          <w:b w:val="0"/>
          <w:kern w:val="0"/>
          <w:sz w:val="32"/>
          <w:szCs w:val="32"/>
        </w:rPr>
      </w:pPr>
      <w:bookmarkStart w:id="12" w:name="_Toc65400158"/>
      <w:r>
        <w:rPr>
          <w:rFonts w:hint="eastAsia" w:ascii="黑体" w:hAnsi="黑体" w:eastAsia="黑体" w:cs="黑体"/>
          <w:b w:val="0"/>
          <w:kern w:val="0"/>
          <w:sz w:val="32"/>
          <w:szCs w:val="32"/>
        </w:rPr>
        <w:t>其他</w:t>
      </w:r>
      <w:bookmarkEnd w:id="12"/>
      <w:r>
        <w:rPr>
          <w:rFonts w:hint="eastAsia" w:ascii="黑体" w:hAnsi="黑体" w:eastAsia="黑体" w:cs="黑体"/>
          <w:b w:val="0"/>
          <w:kern w:val="0"/>
          <w:sz w:val="32"/>
          <w:szCs w:val="32"/>
          <w:lang w:val="en-US" w:eastAsia="zh-CN"/>
        </w:rPr>
        <w:t>需要说明的内容</w:t>
      </w:r>
    </w:p>
    <w:p w14:paraId="1199D609">
      <w:pPr>
        <w:spacing w:line="55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根据初稿审查会专家意见，鉴于本标准隧道部分仅涉及土建结构，建议标准名称改为“公路桥梁与隧道结构长期性能科学观测点建设规范”。</w:t>
      </w:r>
    </w:p>
    <w:p w14:paraId="26260727">
      <w:pPr>
        <w:spacing w:line="550" w:lineRule="exact"/>
        <w:rPr>
          <w:rFonts w:hint="eastAsia" w:ascii="仿宋_GB2312" w:hAnsi="仿宋_GB2312" w:eastAsia="仿宋_GB2312" w:cs="仿宋_GB2312"/>
          <w:kern w:val="0"/>
          <w:sz w:val="32"/>
          <w:szCs w:val="32"/>
        </w:rPr>
      </w:pPr>
    </w:p>
    <w:p w14:paraId="525BC32D">
      <w:pPr>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 xml:space="preserve">      </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 xml:space="preserve"> </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提出单位：山东省交通运输厅</w:t>
      </w:r>
    </w:p>
    <w:p w14:paraId="255B7136">
      <w:pPr>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 xml:space="preserve"> </w:t>
      </w:r>
      <w:r>
        <w:rPr>
          <w:rFonts w:ascii="仿宋_GB2312" w:hAnsi="仿宋_GB2312" w:eastAsia="仿宋_GB2312" w:cs="仿宋_GB2312"/>
          <w:kern w:val="0"/>
          <w:sz w:val="32"/>
          <w:szCs w:val="32"/>
        </w:rPr>
        <w:t xml:space="preserve">       202</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07</w:t>
      </w:r>
      <w:bookmarkStart w:id="13" w:name="_GoBack"/>
      <w:bookmarkEnd w:id="13"/>
      <w:r>
        <w:rPr>
          <w:rFonts w:hint="eastAsia" w:ascii="仿宋_GB2312" w:hAnsi="仿宋_GB2312" w:eastAsia="仿宋_GB2312" w:cs="仿宋_GB2312"/>
          <w:kern w:val="0"/>
          <w:sz w:val="32"/>
          <w:szCs w:val="32"/>
        </w:rPr>
        <w:t>月</w:t>
      </w:r>
    </w:p>
    <w:sectPr>
      <w:footerReference r:id="rId3" w:type="default"/>
      <w:foot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CC48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5E9D1">
                          <w:pPr>
                            <w:pStyle w:val="6"/>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75E9D1">
                    <w:pPr>
                      <w:pStyle w:val="6"/>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9318D">
    <w:pPr>
      <w:pStyle w:val="6"/>
      <w:rPr>
        <w:rFonts w:hint="default" w:ascii="Times New Roman" w:hAnsi="Times New Roman" w:cs="Times New Roman"/>
        <w:sz w:val="21"/>
        <w:szCs w:val="21"/>
      </w:rPr>
    </w:pPr>
    <w:r>
      <w:rPr>
        <w:rFonts w:hint="default" w:ascii="Times New Roman" w:hAnsi="Times New Roman" w:cs="Times New Roman"/>
        <w:sz w:val="21"/>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36006">
                          <w:pPr>
                            <w:pStyle w:val="6"/>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0B36006">
                    <w:pPr>
                      <w:pStyle w:val="6"/>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E4074E"/>
    <w:multiLevelType w:val="multilevel"/>
    <w:tmpl w:val="E4E4074E"/>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0FCAE47B"/>
    <w:multiLevelType w:val="multilevel"/>
    <w:tmpl w:val="0FCAE47B"/>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2792EF1"/>
    <w:multiLevelType w:val="multilevel"/>
    <w:tmpl w:val="52792EF1"/>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9856B3F"/>
    <w:multiLevelType w:val="multilevel"/>
    <w:tmpl w:val="69856B3F"/>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yNTU0ZTg1ODcyNjk5MTllMDUyZDA1OTk1YWQxMDQifQ=="/>
  </w:docVars>
  <w:rsids>
    <w:rsidRoot w:val="00C12346"/>
    <w:rsid w:val="00025C14"/>
    <w:rsid w:val="0003132A"/>
    <w:rsid w:val="00042F1C"/>
    <w:rsid w:val="00065C5F"/>
    <w:rsid w:val="00065F3D"/>
    <w:rsid w:val="0007581E"/>
    <w:rsid w:val="00086440"/>
    <w:rsid w:val="000944F4"/>
    <w:rsid w:val="00096D50"/>
    <w:rsid w:val="000A0CC9"/>
    <w:rsid w:val="000B2E2D"/>
    <w:rsid w:val="000B5301"/>
    <w:rsid w:val="000E4A64"/>
    <w:rsid w:val="000F6C91"/>
    <w:rsid w:val="000F7414"/>
    <w:rsid w:val="00104F18"/>
    <w:rsid w:val="00107F5D"/>
    <w:rsid w:val="00133293"/>
    <w:rsid w:val="001417E3"/>
    <w:rsid w:val="00152B90"/>
    <w:rsid w:val="001617DD"/>
    <w:rsid w:val="00167CBC"/>
    <w:rsid w:val="0017001E"/>
    <w:rsid w:val="001727BC"/>
    <w:rsid w:val="001778AC"/>
    <w:rsid w:val="001C643A"/>
    <w:rsid w:val="001E4F1C"/>
    <w:rsid w:val="001F422E"/>
    <w:rsid w:val="001F6584"/>
    <w:rsid w:val="0022233F"/>
    <w:rsid w:val="00235E60"/>
    <w:rsid w:val="00240674"/>
    <w:rsid w:val="00243A6E"/>
    <w:rsid w:val="00262B54"/>
    <w:rsid w:val="002650A5"/>
    <w:rsid w:val="00270DE1"/>
    <w:rsid w:val="00274D1D"/>
    <w:rsid w:val="00292816"/>
    <w:rsid w:val="002C54AC"/>
    <w:rsid w:val="002F276A"/>
    <w:rsid w:val="0030548C"/>
    <w:rsid w:val="0031351A"/>
    <w:rsid w:val="0032119A"/>
    <w:rsid w:val="003374ED"/>
    <w:rsid w:val="00340A8B"/>
    <w:rsid w:val="00353A31"/>
    <w:rsid w:val="0037206E"/>
    <w:rsid w:val="00374F0D"/>
    <w:rsid w:val="003772AC"/>
    <w:rsid w:val="0039614E"/>
    <w:rsid w:val="003A099D"/>
    <w:rsid w:val="003A5774"/>
    <w:rsid w:val="003D385B"/>
    <w:rsid w:val="003D6840"/>
    <w:rsid w:val="003E7E1E"/>
    <w:rsid w:val="004035F6"/>
    <w:rsid w:val="00405934"/>
    <w:rsid w:val="00407969"/>
    <w:rsid w:val="0041108E"/>
    <w:rsid w:val="00412CE3"/>
    <w:rsid w:val="00422B49"/>
    <w:rsid w:val="00426E30"/>
    <w:rsid w:val="00430EA4"/>
    <w:rsid w:val="00434010"/>
    <w:rsid w:val="00435DC5"/>
    <w:rsid w:val="0044250B"/>
    <w:rsid w:val="00447DC1"/>
    <w:rsid w:val="00457549"/>
    <w:rsid w:val="004676FA"/>
    <w:rsid w:val="00490CF4"/>
    <w:rsid w:val="004B7A64"/>
    <w:rsid w:val="004C51C4"/>
    <w:rsid w:val="004D6B29"/>
    <w:rsid w:val="004F4973"/>
    <w:rsid w:val="0051002D"/>
    <w:rsid w:val="0051475C"/>
    <w:rsid w:val="0054117E"/>
    <w:rsid w:val="0054372C"/>
    <w:rsid w:val="005527B9"/>
    <w:rsid w:val="00554EF1"/>
    <w:rsid w:val="00554F9F"/>
    <w:rsid w:val="00561D23"/>
    <w:rsid w:val="00567CF8"/>
    <w:rsid w:val="00575796"/>
    <w:rsid w:val="005C65DA"/>
    <w:rsid w:val="005E6ABE"/>
    <w:rsid w:val="005F2D31"/>
    <w:rsid w:val="006013B5"/>
    <w:rsid w:val="00616FB7"/>
    <w:rsid w:val="006215D4"/>
    <w:rsid w:val="00646FD7"/>
    <w:rsid w:val="00663D16"/>
    <w:rsid w:val="00670AB9"/>
    <w:rsid w:val="00676C8C"/>
    <w:rsid w:val="006B1AC9"/>
    <w:rsid w:val="006C1881"/>
    <w:rsid w:val="006D63D6"/>
    <w:rsid w:val="006E134A"/>
    <w:rsid w:val="00705759"/>
    <w:rsid w:val="00720EEB"/>
    <w:rsid w:val="007247F2"/>
    <w:rsid w:val="00726B0B"/>
    <w:rsid w:val="00734336"/>
    <w:rsid w:val="00747F3E"/>
    <w:rsid w:val="007643F4"/>
    <w:rsid w:val="00772B28"/>
    <w:rsid w:val="00784C3C"/>
    <w:rsid w:val="00791D9A"/>
    <w:rsid w:val="007A334B"/>
    <w:rsid w:val="007D0644"/>
    <w:rsid w:val="007D4404"/>
    <w:rsid w:val="007D6EAC"/>
    <w:rsid w:val="007F0C52"/>
    <w:rsid w:val="007F353E"/>
    <w:rsid w:val="00811618"/>
    <w:rsid w:val="00815BC4"/>
    <w:rsid w:val="00815E08"/>
    <w:rsid w:val="00835DEC"/>
    <w:rsid w:val="0085362D"/>
    <w:rsid w:val="008651AA"/>
    <w:rsid w:val="00885AC2"/>
    <w:rsid w:val="00887C4B"/>
    <w:rsid w:val="008A1677"/>
    <w:rsid w:val="008A19C0"/>
    <w:rsid w:val="008B7791"/>
    <w:rsid w:val="008D320B"/>
    <w:rsid w:val="008D75C6"/>
    <w:rsid w:val="008F64F8"/>
    <w:rsid w:val="009075A8"/>
    <w:rsid w:val="00911001"/>
    <w:rsid w:val="00922EB1"/>
    <w:rsid w:val="00951321"/>
    <w:rsid w:val="00960325"/>
    <w:rsid w:val="009622D3"/>
    <w:rsid w:val="00974451"/>
    <w:rsid w:val="009920FA"/>
    <w:rsid w:val="0099559A"/>
    <w:rsid w:val="009C2673"/>
    <w:rsid w:val="009D082C"/>
    <w:rsid w:val="009D2A5D"/>
    <w:rsid w:val="009D4B4F"/>
    <w:rsid w:val="009E0E00"/>
    <w:rsid w:val="009F3FBA"/>
    <w:rsid w:val="00A05CD0"/>
    <w:rsid w:val="00A103AF"/>
    <w:rsid w:val="00A465A1"/>
    <w:rsid w:val="00A6074D"/>
    <w:rsid w:val="00A6513A"/>
    <w:rsid w:val="00A7051E"/>
    <w:rsid w:val="00A763D8"/>
    <w:rsid w:val="00A81942"/>
    <w:rsid w:val="00A9513F"/>
    <w:rsid w:val="00AA55E7"/>
    <w:rsid w:val="00AB54E8"/>
    <w:rsid w:val="00AC4D66"/>
    <w:rsid w:val="00B007DE"/>
    <w:rsid w:val="00B15D24"/>
    <w:rsid w:val="00B3571A"/>
    <w:rsid w:val="00B46E67"/>
    <w:rsid w:val="00B63586"/>
    <w:rsid w:val="00BA3C73"/>
    <w:rsid w:val="00BE4157"/>
    <w:rsid w:val="00BE5700"/>
    <w:rsid w:val="00BF43C4"/>
    <w:rsid w:val="00C00A13"/>
    <w:rsid w:val="00C07D0B"/>
    <w:rsid w:val="00C12346"/>
    <w:rsid w:val="00C87D56"/>
    <w:rsid w:val="00C926C0"/>
    <w:rsid w:val="00CA44F1"/>
    <w:rsid w:val="00CC2DC1"/>
    <w:rsid w:val="00CD5C0A"/>
    <w:rsid w:val="00CE417D"/>
    <w:rsid w:val="00D008A1"/>
    <w:rsid w:val="00D46999"/>
    <w:rsid w:val="00D96251"/>
    <w:rsid w:val="00DA43D6"/>
    <w:rsid w:val="00DB18A6"/>
    <w:rsid w:val="00DB3052"/>
    <w:rsid w:val="00DD35BF"/>
    <w:rsid w:val="00DE3195"/>
    <w:rsid w:val="00DE3C24"/>
    <w:rsid w:val="00DF583E"/>
    <w:rsid w:val="00E16431"/>
    <w:rsid w:val="00E2324B"/>
    <w:rsid w:val="00E23540"/>
    <w:rsid w:val="00E333A3"/>
    <w:rsid w:val="00E41B8F"/>
    <w:rsid w:val="00E456DF"/>
    <w:rsid w:val="00E47D66"/>
    <w:rsid w:val="00E61885"/>
    <w:rsid w:val="00E91E56"/>
    <w:rsid w:val="00E9220D"/>
    <w:rsid w:val="00EA5439"/>
    <w:rsid w:val="00EB4251"/>
    <w:rsid w:val="00EC392F"/>
    <w:rsid w:val="00F16531"/>
    <w:rsid w:val="00F215D5"/>
    <w:rsid w:val="00F31F89"/>
    <w:rsid w:val="00F325F5"/>
    <w:rsid w:val="00F32F7A"/>
    <w:rsid w:val="00F41AA3"/>
    <w:rsid w:val="00F54478"/>
    <w:rsid w:val="00F70B69"/>
    <w:rsid w:val="00F77A75"/>
    <w:rsid w:val="00FB7607"/>
    <w:rsid w:val="00FC5BD2"/>
    <w:rsid w:val="00FC7C1C"/>
    <w:rsid w:val="00FF389B"/>
    <w:rsid w:val="018067FB"/>
    <w:rsid w:val="053B2C2F"/>
    <w:rsid w:val="061C5B95"/>
    <w:rsid w:val="067C7D5A"/>
    <w:rsid w:val="06E907E7"/>
    <w:rsid w:val="06EA77D1"/>
    <w:rsid w:val="08112D78"/>
    <w:rsid w:val="0A5F02C6"/>
    <w:rsid w:val="0BB6568C"/>
    <w:rsid w:val="0BE0527A"/>
    <w:rsid w:val="0D073D8A"/>
    <w:rsid w:val="0E9F1BE6"/>
    <w:rsid w:val="0F205179"/>
    <w:rsid w:val="10757746"/>
    <w:rsid w:val="118D2B58"/>
    <w:rsid w:val="125704C1"/>
    <w:rsid w:val="1260661D"/>
    <w:rsid w:val="130A1DBA"/>
    <w:rsid w:val="13486840"/>
    <w:rsid w:val="13A26E3E"/>
    <w:rsid w:val="13E13137"/>
    <w:rsid w:val="142E218E"/>
    <w:rsid w:val="147F27C2"/>
    <w:rsid w:val="14CF70BC"/>
    <w:rsid w:val="15396441"/>
    <w:rsid w:val="15791A87"/>
    <w:rsid w:val="16DA0303"/>
    <w:rsid w:val="172D08C6"/>
    <w:rsid w:val="1A296661"/>
    <w:rsid w:val="1A965EC6"/>
    <w:rsid w:val="1D933519"/>
    <w:rsid w:val="1E8C2BD6"/>
    <w:rsid w:val="1F6931FC"/>
    <w:rsid w:val="22A5414D"/>
    <w:rsid w:val="24D657F6"/>
    <w:rsid w:val="25706B4E"/>
    <w:rsid w:val="25965FC4"/>
    <w:rsid w:val="25AA40A4"/>
    <w:rsid w:val="260C02FD"/>
    <w:rsid w:val="26DD4917"/>
    <w:rsid w:val="27871DE1"/>
    <w:rsid w:val="28353965"/>
    <w:rsid w:val="295D49CD"/>
    <w:rsid w:val="2A0F07CB"/>
    <w:rsid w:val="2AF21C68"/>
    <w:rsid w:val="2B8676E6"/>
    <w:rsid w:val="2BB66F3D"/>
    <w:rsid w:val="2C6F3E78"/>
    <w:rsid w:val="30FA3624"/>
    <w:rsid w:val="3135465C"/>
    <w:rsid w:val="32E84ADE"/>
    <w:rsid w:val="3300367C"/>
    <w:rsid w:val="356347E1"/>
    <w:rsid w:val="35952052"/>
    <w:rsid w:val="36156887"/>
    <w:rsid w:val="36A33AE5"/>
    <w:rsid w:val="375A7122"/>
    <w:rsid w:val="378C41F2"/>
    <w:rsid w:val="37F91AA2"/>
    <w:rsid w:val="380555FF"/>
    <w:rsid w:val="391F631E"/>
    <w:rsid w:val="39270892"/>
    <w:rsid w:val="3BA50409"/>
    <w:rsid w:val="3CA21FD2"/>
    <w:rsid w:val="3D560474"/>
    <w:rsid w:val="3FEF4434"/>
    <w:rsid w:val="4125079D"/>
    <w:rsid w:val="4326474D"/>
    <w:rsid w:val="43A06DEF"/>
    <w:rsid w:val="45CF2221"/>
    <w:rsid w:val="45FC3543"/>
    <w:rsid w:val="46346665"/>
    <w:rsid w:val="46CF2749"/>
    <w:rsid w:val="47D20E71"/>
    <w:rsid w:val="4810238C"/>
    <w:rsid w:val="4880599A"/>
    <w:rsid w:val="48C15FC8"/>
    <w:rsid w:val="49645D4E"/>
    <w:rsid w:val="49CA7BE0"/>
    <w:rsid w:val="4A7353B6"/>
    <w:rsid w:val="4BE8754B"/>
    <w:rsid w:val="4CF468DD"/>
    <w:rsid w:val="4F9C1B24"/>
    <w:rsid w:val="50CB5DB3"/>
    <w:rsid w:val="512D1B9F"/>
    <w:rsid w:val="516B36CC"/>
    <w:rsid w:val="51D0230F"/>
    <w:rsid w:val="53B0551B"/>
    <w:rsid w:val="54426212"/>
    <w:rsid w:val="56744B16"/>
    <w:rsid w:val="5D150431"/>
    <w:rsid w:val="5D236DAA"/>
    <w:rsid w:val="5F2C1953"/>
    <w:rsid w:val="5FEF353C"/>
    <w:rsid w:val="614568A9"/>
    <w:rsid w:val="618304F0"/>
    <w:rsid w:val="61EA3B09"/>
    <w:rsid w:val="62707176"/>
    <w:rsid w:val="62A52EEF"/>
    <w:rsid w:val="658D2FF9"/>
    <w:rsid w:val="68235DC4"/>
    <w:rsid w:val="696E19BC"/>
    <w:rsid w:val="69F36CE8"/>
    <w:rsid w:val="6ABA680E"/>
    <w:rsid w:val="6BE77A8B"/>
    <w:rsid w:val="6C803E37"/>
    <w:rsid w:val="6CA229E9"/>
    <w:rsid w:val="6D1D307B"/>
    <w:rsid w:val="6D774E46"/>
    <w:rsid w:val="716A4D4A"/>
    <w:rsid w:val="72006ED8"/>
    <w:rsid w:val="723D4B43"/>
    <w:rsid w:val="72F52706"/>
    <w:rsid w:val="75561617"/>
    <w:rsid w:val="76A102FB"/>
    <w:rsid w:val="77740D0D"/>
    <w:rsid w:val="78731EB7"/>
    <w:rsid w:val="790F0845"/>
    <w:rsid w:val="7931090C"/>
    <w:rsid w:val="7A57454F"/>
    <w:rsid w:val="7B15330C"/>
    <w:rsid w:val="7BAE7724"/>
    <w:rsid w:val="7BBD6CF5"/>
    <w:rsid w:val="7BBF5781"/>
    <w:rsid w:val="7EDB6B21"/>
    <w:rsid w:val="7F287743"/>
    <w:rsid w:val="7F6958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qFormat/>
    <w:uiPriority w:val="1"/>
    <w:pPr>
      <w:widowControl w:val="0"/>
      <w:autoSpaceDE w:val="0"/>
      <w:autoSpaceDN w:val="0"/>
    </w:pPr>
    <w:rPr>
      <w:rFonts w:ascii="宋体" w:hAnsi="宋体" w:eastAsia="宋体" w:cs="宋体"/>
      <w:sz w:val="28"/>
      <w:szCs w:val="28"/>
      <w:lang w:val="zh-CN" w:eastAsia="zh-CN" w:bidi="zh-CN"/>
    </w:rPr>
  </w:style>
  <w:style w:type="paragraph" w:styleId="5">
    <w:name w:val="Date"/>
    <w:basedOn w:val="1"/>
    <w:next w:val="1"/>
    <w:link w:val="16"/>
    <w:semiHidden/>
    <w:unhideWhenUsed/>
    <w:qFormat/>
    <w:uiPriority w:val="99"/>
    <w:pPr>
      <w:ind w:left="100" w:leftChars="2500"/>
    </w:pPr>
  </w:style>
  <w:style w:type="paragraph" w:styleId="6">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3"/>
    <w:next w:val="3"/>
    <w:link w:val="20"/>
    <w:semiHidden/>
    <w:unhideWhenUsed/>
    <w:qFormat/>
    <w:uiPriority w:val="99"/>
    <w:rPr>
      <w:b/>
      <w:bCs/>
    </w:rPr>
  </w:style>
  <w:style w:type="character" w:styleId="11">
    <w:name w:val="Strong"/>
    <w:basedOn w:val="10"/>
    <w:qFormat/>
    <w:uiPriority w:val="22"/>
    <w:rPr>
      <w:b/>
    </w:rPr>
  </w:style>
  <w:style w:type="character" w:styleId="12">
    <w:name w:val="page number"/>
    <w:qFormat/>
    <w:uiPriority w:val="0"/>
  </w:style>
  <w:style w:type="character" w:styleId="13">
    <w:name w:val="annotation reference"/>
    <w:basedOn w:val="10"/>
    <w:semiHidden/>
    <w:unhideWhenUsed/>
    <w:qFormat/>
    <w:uiPriority w:val="99"/>
    <w:rPr>
      <w:sz w:val="21"/>
      <w:szCs w:val="21"/>
    </w:rPr>
  </w:style>
  <w:style w:type="character" w:customStyle="1" w:styleId="14">
    <w:name w:val="页眉 字符"/>
    <w:basedOn w:val="10"/>
    <w:link w:val="7"/>
    <w:qFormat/>
    <w:uiPriority w:val="99"/>
    <w:rPr>
      <w:sz w:val="18"/>
      <w:szCs w:val="18"/>
    </w:rPr>
  </w:style>
  <w:style w:type="character" w:customStyle="1" w:styleId="15">
    <w:name w:val="页脚 字符"/>
    <w:basedOn w:val="10"/>
    <w:link w:val="6"/>
    <w:qFormat/>
    <w:uiPriority w:val="99"/>
    <w:rPr>
      <w:sz w:val="18"/>
      <w:szCs w:val="18"/>
    </w:rPr>
  </w:style>
  <w:style w:type="character" w:customStyle="1" w:styleId="16">
    <w:name w:val="日期 字符"/>
    <w:basedOn w:val="10"/>
    <w:link w:val="5"/>
    <w:semiHidden/>
    <w:qFormat/>
    <w:uiPriority w:val="99"/>
    <w:rPr>
      <w:rFonts w:ascii="Times New Roman" w:hAnsi="Times New Roman" w:eastAsia="宋体" w:cs="Times New Roman"/>
      <w:szCs w:val="24"/>
    </w:rPr>
  </w:style>
  <w:style w:type="character" w:customStyle="1" w:styleId="17">
    <w:name w:val="标题 1 字符"/>
    <w:basedOn w:val="10"/>
    <w:link w:val="2"/>
    <w:qFormat/>
    <w:uiPriority w:val="9"/>
    <w:rPr>
      <w:rFonts w:ascii="Times New Roman" w:hAnsi="Times New Roman" w:eastAsia="宋体" w:cs="Times New Roman"/>
      <w:b/>
      <w:bCs/>
      <w:kern w:val="44"/>
      <w:sz w:val="44"/>
      <w:szCs w:val="44"/>
    </w:rPr>
  </w:style>
  <w:style w:type="paragraph" w:styleId="18">
    <w:name w:val="List Paragraph"/>
    <w:basedOn w:val="1"/>
    <w:qFormat/>
    <w:uiPriority w:val="34"/>
    <w:pPr>
      <w:widowControl/>
      <w:ind w:firstLine="420" w:firstLineChars="200"/>
      <w:jc w:val="left"/>
    </w:pPr>
    <w:rPr>
      <w:rFonts w:ascii="宋体" w:hAnsi="宋体" w:cs="宋体"/>
      <w:kern w:val="0"/>
      <w:sz w:val="24"/>
    </w:rPr>
  </w:style>
  <w:style w:type="character" w:customStyle="1" w:styleId="19">
    <w:name w:val="批注文字 字符"/>
    <w:basedOn w:val="10"/>
    <w:link w:val="3"/>
    <w:qFormat/>
    <w:uiPriority w:val="99"/>
    <w:rPr>
      <w:rFonts w:ascii="Times New Roman" w:hAnsi="Times New Roman" w:eastAsia="宋体" w:cs="Times New Roman"/>
      <w:kern w:val="2"/>
      <w:sz w:val="21"/>
      <w:szCs w:val="24"/>
    </w:rPr>
  </w:style>
  <w:style w:type="character" w:customStyle="1" w:styleId="20">
    <w:name w:val="批注主题 字符"/>
    <w:basedOn w:val="19"/>
    <w:link w:val="8"/>
    <w:semiHidden/>
    <w:qFormat/>
    <w:uiPriority w:val="99"/>
    <w:rPr>
      <w:rFonts w:ascii="Times New Roman" w:hAnsi="Times New Roman" w:eastAsia="宋体" w:cs="Times New Roman"/>
      <w:b/>
      <w:bCs/>
      <w:kern w:val="2"/>
      <w:sz w:val="21"/>
      <w:szCs w:val="24"/>
    </w:rPr>
  </w:style>
  <w:style w:type="paragraph" w:customStyle="1" w:styleId="21">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8831</Words>
  <Characters>9184</Characters>
  <Lines>88</Lines>
  <Paragraphs>24</Paragraphs>
  <TotalTime>219</TotalTime>
  <ScaleCrop>false</ScaleCrop>
  <LinksUpToDate>false</LinksUpToDate>
  <CharactersWithSpaces>9279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2026-03-20T06:45:00Z</dcterms:created>
  <dc:creator>Administrator</dc:creator>
  <cp:lastModifiedBy>Sadu-孔方兄</cp:lastModifiedBy>
  <cp:lastPrinted>2025-06-27T03:12:00Z</cp:lastPrinted>
  <dcterms:modified xsi:type="dcterms:W3CDTF">2026-07-29T07:54:29Z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1245AB8515EF4EF9BEC0B1A8DEDAF851_13</vt:lpwstr>
  </property>
  <property fmtid="{D5CDD505-2E9C-101B-9397-08002B2CF9AE}" pid="4" name="KSOTemplateDocerSaveRecord">
    <vt:lpwstr>eyJoZGlkIjoiNjZlOGQyODc1OTE2MjFlYWNhYTk4NmY4NmY2NTYyNmQiLCJ1c2VySWQiOiI2MDc1NTQ5NTcifQ==</vt:lpwstr>
  </property>
</Properties>
</file>