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idowControl/>
        <w:spacing w:beforeAutospacing="0" w:afterAutospacing="0" w:line="600" w:lineRule="exact"/>
        <w:jc w:val="both"/>
        <w:rPr>
          <w:rFonts w:ascii="仿宋_GB2312" w:hAnsi="仿宋_GB2312" w:eastAsia="仿宋_GB2312" w:cs="仿宋_GB2312"/>
          <w:color w:val="000000"/>
          <w:sz w:val="32"/>
          <w:szCs w:val="32"/>
        </w:rPr>
      </w:pPr>
    </w:p>
    <w:p>
      <w:pPr>
        <w:pStyle w:val="4"/>
        <w:widowControl/>
        <w:spacing w:beforeAutospacing="0" w:afterAutospacing="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省交通运输厅</w:t>
      </w:r>
    </w:p>
    <w:p>
      <w:pPr>
        <w:pStyle w:val="4"/>
        <w:widowControl/>
        <w:spacing w:beforeAutospacing="0" w:afterAutospacing="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2019年度政府信息公开工作年度报告</w:t>
      </w:r>
    </w:p>
    <w:p>
      <w:pPr>
        <w:pStyle w:val="4"/>
        <w:widowControl/>
        <w:spacing w:beforeAutospacing="0" w:afterAutospacing="0" w:line="600" w:lineRule="exact"/>
        <w:ind w:firstLine="420"/>
        <w:jc w:val="both"/>
        <w:rPr>
          <w:rFonts w:ascii="仿宋_GB2312" w:hAnsi="仿宋_GB2312" w:eastAsia="仿宋_GB2312" w:cs="仿宋_GB2312"/>
          <w:color w:val="000000"/>
          <w:sz w:val="32"/>
          <w:szCs w:val="32"/>
        </w:rPr>
      </w:pPr>
    </w:p>
    <w:p>
      <w:pPr>
        <w:pStyle w:val="4"/>
        <w:widowControl/>
        <w:spacing w:beforeAutospacing="0" w:afterAutospacing="0" w:line="600" w:lineRule="exact"/>
        <w:ind w:firstLine="640"/>
        <w:jc w:val="both"/>
        <w:rPr>
          <w:rFonts w:ascii="黑体" w:hAnsi="黑体" w:eastAsia="黑体" w:cs="黑体"/>
          <w:color w:val="000000"/>
          <w:sz w:val="32"/>
          <w:szCs w:val="32"/>
        </w:rPr>
      </w:pPr>
      <w:r>
        <w:rPr>
          <w:rFonts w:hint="eastAsia" w:ascii="黑体" w:hAnsi="黑体" w:eastAsia="黑体" w:cs="黑体"/>
          <w:color w:val="000000"/>
          <w:sz w:val="32"/>
          <w:szCs w:val="32"/>
        </w:rPr>
        <w:t>一、总体情况</w:t>
      </w:r>
    </w:p>
    <w:p>
      <w:pPr>
        <w:widowControl/>
        <w:spacing w:line="60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今年以来，按照省委、省政府关于推进政务公开工作</w:t>
      </w:r>
      <w:r>
        <w:rPr>
          <w:rFonts w:hint="eastAsia" w:ascii="仿宋_GB2312" w:hAnsi="仿宋_GB2312" w:eastAsia="仿宋_GB2312" w:cs="仿宋_GB2312"/>
          <w:color w:val="000000"/>
          <w:sz w:val="32"/>
          <w:szCs w:val="32"/>
        </w:rPr>
        <w:t>的系列决策部署，</w:t>
      </w:r>
      <w:r>
        <w:rPr>
          <w:rFonts w:hint="eastAsia" w:ascii="仿宋_GB2312" w:hAnsi="仿宋_GB2312" w:eastAsia="仿宋_GB2312" w:cs="仿宋_GB2312"/>
          <w:color w:val="000000"/>
          <w:kern w:val="0"/>
          <w:sz w:val="32"/>
          <w:szCs w:val="32"/>
        </w:rPr>
        <w:t>紧紧围绕中心工作及群众关注关切，以提升政府信息及政务公开质量为主线，</w:t>
      </w:r>
      <w:r>
        <w:rPr>
          <w:rFonts w:hint="eastAsia" w:ascii="仿宋_GB2312" w:hAnsi="仿宋_GB2312" w:eastAsia="仿宋_GB2312" w:cs="仿宋_GB2312"/>
          <w:color w:val="000000"/>
          <w:sz w:val="32"/>
          <w:szCs w:val="32"/>
        </w:rPr>
        <w:t>大力推进决策、执行、管理、服务和结果公开，取得明显成效。</w:t>
      </w:r>
    </w:p>
    <w:p>
      <w:pPr>
        <w:pStyle w:val="4"/>
        <w:numPr>
          <w:ilvl w:val="0"/>
          <w:numId w:val="1"/>
        </w:numPr>
        <w:spacing w:beforeAutospacing="0" w:afterAutospacing="0" w:line="600" w:lineRule="exact"/>
        <w:ind w:firstLine="480" w:firstLineChars="200"/>
        <w:rPr>
          <w:rFonts w:ascii="仿宋_GB2312" w:hAnsi="仿宋_GB2312" w:eastAsia="仿宋_GB2312" w:cs="仿宋_GB2312"/>
          <w:color w:val="000000"/>
          <w:sz w:val="32"/>
          <w:szCs w:val="32"/>
        </w:rPr>
      </w:pPr>
      <w:r>
        <w:rPr>
          <w:rFonts w:hint="eastAsia"/>
        </w:rPr>
        <w:drawing>
          <wp:anchor distT="0" distB="0" distL="114300" distR="114300" simplePos="0" relativeHeight="251658240" behindDoc="0" locked="0" layoutInCell="1" allowOverlap="1">
            <wp:simplePos x="0" y="0"/>
            <wp:positionH relativeFrom="column">
              <wp:posOffset>2268855</wp:posOffset>
            </wp:positionH>
            <wp:positionV relativeFrom="paragraph">
              <wp:posOffset>229235</wp:posOffset>
            </wp:positionV>
            <wp:extent cx="3811270" cy="4237990"/>
            <wp:effectExtent l="0" t="0" r="17780" b="10160"/>
            <wp:wrapSquare wrapText="bothSides"/>
            <wp:docPr id="2" name="图片 2" descr="1593329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3329125(1)"/>
                    <pic:cNvPicPr>
                      <a:picLocks noChangeAspect="1"/>
                    </pic:cNvPicPr>
                  </pic:nvPicPr>
                  <pic:blipFill>
                    <a:blip r:embed="rId5"/>
                    <a:srcRect l="-452" t="9369" b="3662"/>
                    <a:stretch>
                      <a:fillRect/>
                    </a:stretch>
                  </pic:blipFill>
                  <pic:spPr>
                    <a:xfrm>
                      <a:off x="0" y="0"/>
                      <a:ext cx="3811270" cy="4237990"/>
                    </a:xfrm>
                    <a:prstGeom prst="rect">
                      <a:avLst/>
                    </a:prstGeom>
                  </pic:spPr>
                </pic:pic>
              </a:graphicData>
            </a:graphic>
          </wp:anchor>
        </w:drawing>
      </w:r>
      <w:r>
        <w:rPr>
          <w:rFonts w:hint="eastAsia" w:ascii="仿宋_GB2312" w:hAnsi="仿宋_GB2312" w:eastAsia="仿宋_GB2312" w:cs="仿宋_GB2312"/>
          <w:b/>
          <w:bCs/>
          <w:color w:val="000000"/>
          <w:sz w:val="32"/>
          <w:szCs w:val="32"/>
        </w:rPr>
        <w:t>加强组织保障。</w:t>
      </w:r>
      <w:r>
        <w:rPr>
          <w:rFonts w:hint="eastAsia" w:ascii="仿宋_GB2312" w:hAnsi="仿宋_GB2312" w:eastAsia="仿宋_GB2312" w:cs="仿宋_GB2312"/>
          <w:color w:val="000000"/>
          <w:sz w:val="32"/>
          <w:szCs w:val="32"/>
        </w:rPr>
        <w:t>调整厅政务公开工作领导小组，领导小组组长由厅主要负责人担任，副组长由其他厅领导担任，成员由二级巡视员、各处室主要负责人和部分厅直单位主要负责人担任。印发《2019年政务公开工作要点》，对全年政务公开工作进行了安排部署。根据机构改革情况，</w:t>
      </w:r>
      <w:r>
        <w:rPr>
          <w:rFonts w:hint="eastAsia" w:ascii="仿宋_GB2312" w:hAnsi="仿宋_GB2312" w:eastAsia="仿宋_GB2312" w:cs="仿宋_GB2312"/>
          <w:color w:val="000000"/>
          <w:sz w:val="32"/>
          <w:szCs w:val="32"/>
        </w:rPr>
        <w:t>厅政府</w:t>
      </w:r>
      <w:r>
        <w:rPr>
          <w:rFonts w:hint="eastAsia" w:ascii="仿宋_GB2312" w:hAnsi="仿宋_GB2312" w:eastAsia="仿宋_GB2312" w:cs="仿宋_GB2312"/>
          <w:color w:val="000000"/>
          <w:sz w:val="32"/>
          <w:szCs w:val="32"/>
        </w:rPr>
        <w:t>信息公开指南进行修订并重新发布，对信息公开目录</w:t>
      </w:r>
      <w:r>
        <w:rPr>
          <w:rFonts w:hint="eastAsia" w:ascii="仿宋_GB2312" w:hAnsi="仿宋_GB2312" w:eastAsia="仿宋_GB2312" w:cs="仿宋_GB2312"/>
          <w:color w:val="000000"/>
          <w:sz w:val="32"/>
          <w:szCs w:val="32"/>
        </w:rPr>
        <w:t>及时进行调整。加强督查督办，各处室单位均明确了专人负责政务公开工作，及时督促各处室单位按时主动公开政府信息。</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anchor distT="0" distB="0" distL="114300" distR="114300" simplePos="0" relativeHeight="251661312" behindDoc="0" locked="0" layoutInCell="1" allowOverlap="1">
            <wp:simplePos x="0" y="0"/>
            <wp:positionH relativeFrom="column">
              <wp:posOffset>178435</wp:posOffset>
            </wp:positionH>
            <wp:positionV relativeFrom="paragraph">
              <wp:posOffset>5167630</wp:posOffset>
            </wp:positionV>
            <wp:extent cx="5267325" cy="3082925"/>
            <wp:effectExtent l="0" t="0" r="9525" b="3175"/>
            <wp:wrapSquare wrapText="bothSides"/>
            <wp:docPr id="5" name="图片 5" descr="1593488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93488794(1)"/>
                    <pic:cNvPicPr>
                      <a:picLocks noChangeAspect="1"/>
                    </pic:cNvPicPr>
                  </pic:nvPicPr>
                  <pic:blipFill>
                    <a:blip r:embed="rId6"/>
                    <a:stretch>
                      <a:fillRect/>
                    </a:stretch>
                  </pic:blipFill>
                  <pic:spPr>
                    <a:xfrm>
                      <a:off x="0" y="0"/>
                      <a:ext cx="5267325" cy="3082925"/>
                    </a:xfrm>
                    <a:prstGeom prst="rect">
                      <a:avLst/>
                    </a:prstGeom>
                  </pic:spPr>
                </pic:pic>
              </a:graphicData>
            </a:graphic>
          </wp:anchor>
        </w:drawing>
      </w:r>
      <w:r>
        <w:rPr>
          <w:rFonts w:hint="eastAsia" w:ascii="仿宋_GB2312" w:hAnsi="仿宋_GB2312" w:eastAsia="仿宋_GB2312" w:cs="仿宋_GB2312"/>
          <w:b/>
          <w:bCs/>
          <w:color w:val="000000"/>
          <w:kern w:val="0"/>
          <w:sz w:val="32"/>
          <w:szCs w:val="32"/>
        </w:rPr>
        <w:t>（二）加大主动公开力度。</w:t>
      </w:r>
      <w:r>
        <w:rPr>
          <w:rFonts w:hint="eastAsia" w:ascii="仿宋_GB2312" w:hAnsi="仿宋_GB2312" w:eastAsia="仿宋_GB2312" w:cs="仿宋_GB2312"/>
          <w:color w:val="000000"/>
          <w:sz w:val="32"/>
          <w:szCs w:val="32"/>
        </w:rPr>
        <w:t>充分利用现有公开渠道，不断扩大公开范围，细化公开内容，积极主动公开各类政府信息。调整主动公开基本目录，做到《条例》要求主动公开的内容全覆盖。对厅门户网站进行升级改造，增加信息公开专栏，改版互动交流栏目，并与山东政务服务网、山东省交通建设市场监管公共平台、山东交通</w:t>
      </w:r>
      <w:r>
        <w:rPr>
          <w:rFonts w:hint="eastAsia" w:ascii="仿宋_GB2312" w:hAnsi="仿宋_GB2312" w:eastAsia="仿宋_GB2312" w:cs="仿宋_GB2312"/>
          <w:color w:val="000000"/>
          <w:sz w:val="32"/>
          <w:szCs w:val="32"/>
        </w:rPr>
        <w:t>出行网</w:t>
      </w:r>
      <w:r>
        <w:rPr>
          <w:rFonts w:hint="eastAsia" w:ascii="仿宋_GB2312" w:hAnsi="仿宋_GB2312" w:eastAsia="仿宋_GB2312" w:cs="仿宋_GB2312"/>
          <w:color w:val="000000"/>
          <w:sz w:val="32"/>
          <w:szCs w:val="32"/>
        </w:rPr>
        <w:t>等网站进行链接，共发布政策、文件、会议、基础信息、财政预决算、重大建设项目建设等各类重点信息5400余条，厅门户网站的主阵地作用得到充分发挥。积极利用山东交通运输政务微博、</w:t>
      </w:r>
      <w:r>
        <w:rPr>
          <w:rFonts w:hint="eastAsia" w:ascii="仿宋_GB2312" w:hAnsi="仿宋_GB2312" w:eastAsia="仿宋_GB2312" w:cs="仿宋_GB2312"/>
          <w:color w:val="000000"/>
          <w:sz w:val="32"/>
          <w:szCs w:val="32"/>
        </w:rPr>
        <w:t>微信公众号</w:t>
      </w:r>
      <w:r>
        <w:rPr>
          <w:rFonts w:hint="eastAsia" w:ascii="仿宋_GB2312" w:hAnsi="仿宋_GB2312" w:eastAsia="仿宋_GB2312" w:cs="仿宋_GB2312"/>
          <w:color w:val="000000"/>
          <w:sz w:val="32"/>
          <w:szCs w:val="32"/>
        </w:rPr>
        <w:t>等渠道，通过文字、图片、视频等多种形式进行信息发布。2019年度，新浪</w:t>
      </w:r>
      <w:r>
        <w:rPr>
          <w:rFonts w:hint="eastAsia" w:ascii="仿宋_GB2312" w:hAnsi="仿宋_GB2312" w:eastAsia="仿宋_GB2312" w:cs="仿宋_GB2312"/>
          <w:color w:val="000000"/>
          <w:sz w:val="32"/>
          <w:szCs w:val="32"/>
        </w:rPr>
        <w:t>官方微博推送</w:t>
      </w:r>
      <w:r>
        <w:rPr>
          <w:rFonts w:hint="eastAsia" w:ascii="仿宋_GB2312" w:hAnsi="仿宋_GB2312" w:eastAsia="仿宋_GB2312" w:cs="仿宋_GB2312"/>
          <w:color w:val="000000"/>
          <w:sz w:val="32"/>
          <w:szCs w:val="32"/>
        </w:rPr>
        <w:t>360余条，粉丝人数超过7.3万人；官方</w:t>
      </w:r>
      <w:r>
        <w:rPr>
          <w:rFonts w:hint="eastAsia" w:ascii="仿宋_GB2312" w:hAnsi="仿宋_GB2312" w:eastAsia="仿宋_GB2312" w:cs="仿宋_GB2312"/>
          <w:color w:val="000000"/>
          <w:sz w:val="32"/>
          <w:szCs w:val="32"/>
        </w:rPr>
        <w:t>微信公众号共</w:t>
      </w:r>
      <w:r>
        <w:rPr>
          <w:rFonts w:hint="eastAsia" w:ascii="仿宋_GB2312" w:hAnsi="仿宋_GB2312" w:eastAsia="仿宋_GB2312" w:cs="仿宋_GB2312"/>
          <w:color w:val="000000"/>
          <w:sz w:val="32"/>
          <w:szCs w:val="32"/>
        </w:rPr>
        <w:t>推送信息170余条（500余篇），关注粉丝人数1.96万人。</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anchor distT="0" distB="0" distL="114300" distR="114300" simplePos="0" relativeHeight="251662336" behindDoc="0" locked="0" layoutInCell="1" allowOverlap="1">
            <wp:simplePos x="0" y="0"/>
            <wp:positionH relativeFrom="column">
              <wp:posOffset>-47625</wp:posOffset>
            </wp:positionH>
            <wp:positionV relativeFrom="paragraph">
              <wp:posOffset>4361815</wp:posOffset>
            </wp:positionV>
            <wp:extent cx="5266690" cy="3786505"/>
            <wp:effectExtent l="0" t="0" r="10160" b="4445"/>
            <wp:wrapSquare wrapText="bothSides"/>
            <wp:docPr id="6" name="图片 6" descr="1593489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93489663(1)"/>
                    <pic:cNvPicPr>
                      <a:picLocks noChangeAspect="1"/>
                    </pic:cNvPicPr>
                  </pic:nvPicPr>
                  <pic:blipFill>
                    <a:blip r:embed="rId7"/>
                    <a:stretch>
                      <a:fillRect/>
                    </a:stretch>
                  </pic:blipFill>
                  <pic:spPr>
                    <a:xfrm>
                      <a:off x="0" y="0"/>
                      <a:ext cx="5266690" cy="3786505"/>
                    </a:xfrm>
                    <a:prstGeom prst="rect">
                      <a:avLst/>
                    </a:prstGeom>
                  </pic:spPr>
                </pic:pic>
              </a:graphicData>
            </a:graphic>
          </wp:anchor>
        </w:drawing>
      </w:r>
      <w:r>
        <w:rPr>
          <w:rFonts w:hint="eastAsia" w:ascii="仿宋_GB2312" w:hAnsi="仿宋_GB2312" w:eastAsia="仿宋_GB2312" w:cs="仿宋_GB2312"/>
          <w:b/>
          <w:bCs/>
          <w:color w:val="000000"/>
          <w:kern w:val="0"/>
          <w:sz w:val="32"/>
          <w:szCs w:val="32"/>
        </w:rPr>
        <w:t>（三）推动重点领域信息公开。</w:t>
      </w:r>
      <w:r>
        <w:rPr>
          <w:rFonts w:hint="eastAsia" w:ascii="仿宋_GB2312" w:hAnsi="仿宋_GB2312" w:eastAsia="仿宋_GB2312" w:cs="仿宋_GB2312"/>
          <w:color w:val="000000"/>
          <w:sz w:val="32"/>
          <w:szCs w:val="32"/>
        </w:rPr>
        <w:t>围绕省厅年度重点工作、民生实事项目重大决策部署，加大相关政策措施的执行和落实情况公开力度。重大建设项目实施领域，我厅所涉交通运输建设招投标、施工、质量安全监督等信息，均在山东省交通建设市场监管公共平台公开，在厅门户网站的专题专栏中有入口链接。深入推进审批服务标准化，全省交通运输系统权责事项共280项，其中省级权责事项共有75项（行政权力71项、公共服务4项），已全部纳入山东政务服务平台。根据机构改革和职能调整情况，</w:t>
      </w:r>
      <w:r>
        <w:rPr>
          <w:rFonts w:hint="eastAsia" w:ascii="仿宋_GB2312" w:hAnsi="仿宋_GB2312" w:eastAsia="仿宋_GB2312" w:cs="仿宋_GB2312"/>
          <w:sz w:val="32"/>
          <w:szCs w:val="32"/>
        </w:rPr>
        <w:t>逐个事项类型、逐个事项、逐个要素进行了排查，</w:t>
      </w:r>
      <w:r>
        <w:rPr>
          <w:rFonts w:hint="eastAsia" w:ascii="仿宋_GB2312" w:hAnsi="仿宋_GB2312" w:eastAsia="仿宋_GB2312" w:cs="仿宋_GB2312"/>
          <w:color w:val="000000"/>
          <w:sz w:val="32"/>
          <w:szCs w:val="32"/>
        </w:rPr>
        <w:t>及时调整完善了服务指南。</w:t>
      </w:r>
      <w:r>
        <w:rPr>
          <w:rFonts w:ascii="Times New Roman" w:hAnsi="Times New Roman" w:eastAsia="仿宋_GB2312" w:cs="Times New Roman"/>
          <w:sz w:val="32"/>
          <w:szCs w:val="32"/>
        </w:rPr>
        <w:t>推进</w:t>
      </w:r>
      <w:r>
        <w:rPr>
          <w:rFonts w:ascii="Times New Roman" w:hAnsi="Times New Roman" w:eastAsia="仿宋_GB2312" w:cs="Times New Roman"/>
          <w:sz w:val="32"/>
          <w:szCs w:val="32"/>
          <w:shd w:val="clear" w:color="auto" w:fill="FFFFFF"/>
        </w:rPr>
        <w:t>财政信息细化公开</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rPr>
        <w:t>及时公开</w:t>
      </w:r>
      <w:r>
        <w:rPr>
          <w:rFonts w:hint="eastAsia" w:ascii="Times New Roman" w:hAnsi="Times New Roman" w:eastAsia="仿宋_GB2312" w:cs="Times New Roman"/>
          <w:sz w:val="32"/>
          <w:szCs w:val="32"/>
        </w:rPr>
        <w:t>部门预决算</w:t>
      </w:r>
      <w:r>
        <w:rPr>
          <w:rFonts w:ascii="Times New Roman" w:hAnsi="Times New Roman" w:eastAsia="仿宋_GB2312" w:cs="Times New Roman"/>
          <w:sz w:val="32"/>
          <w:szCs w:val="32"/>
        </w:rPr>
        <w:t>，公开内容全面细致。</w:t>
      </w:r>
    </w:p>
    <w:p>
      <w:pPr>
        <w:spacing w:line="600" w:lineRule="exact"/>
        <w:ind w:firstLine="480" w:firstLineChars="200"/>
        <w:rPr>
          <w:rFonts w:ascii="仿宋_GB2312" w:hAnsi="仿宋_GB2312" w:eastAsia="仿宋_GB2312" w:cs="仿宋_GB2312"/>
          <w:color w:val="000000"/>
          <w:sz w:val="32"/>
          <w:szCs w:val="32"/>
        </w:rPr>
      </w:pPr>
      <w:r>
        <w:rPr>
          <w:rFonts w:ascii="宋体" w:hAnsi="宋体" w:eastAsia="宋体" w:cs="宋体"/>
          <w:sz w:val="24"/>
        </w:rPr>
        <w:drawing>
          <wp:anchor distT="0" distB="0" distL="114300" distR="114300" simplePos="0" relativeHeight="251660288" behindDoc="0" locked="0" layoutInCell="1" allowOverlap="1">
            <wp:simplePos x="0" y="0"/>
            <wp:positionH relativeFrom="column">
              <wp:posOffset>-36195</wp:posOffset>
            </wp:positionH>
            <wp:positionV relativeFrom="paragraph">
              <wp:posOffset>3110865</wp:posOffset>
            </wp:positionV>
            <wp:extent cx="5857875" cy="3324225"/>
            <wp:effectExtent l="0" t="0" r="9525" b="9525"/>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5857875" cy="3324225"/>
                    </a:xfrm>
                    <a:prstGeom prst="rect">
                      <a:avLst/>
                    </a:prstGeom>
                    <a:noFill/>
                    <a:ln w="9525">
                      <a:noFill/>
                    </a:ln>
                  </pic:spPr>
                </pic:pic>
              </a:graphicData>
            </a:graphic>
          </wp:anchor>
        </w:drawing>
      </w:r>
      <w:r>
        <w:rPr>
          <w:rFonts w:hint="eastAsia" w:ascii="仿宋_GB2312" w:hAnsi="仿宋_GB2312" w:eastAsia="仿宋_GB2312" w:cs="仿宋_GB2312"/>
          <w:b/>
          <w:bCs/>
          <w:color w:val="000000"/>
          <w:kern w:val="0"/>
          <w:sz w:val="32"/>
          <w:szCs w:val="32"/>
        </w:rPr>
        <w:t>（四）做好新闻发布工作。</w:t>
      </w:r>
      <w:r>
        <w:rPr>
          <w:rFonts w:hint="eastAsia" w:ascii="仿宋_GB2312" w:hAnsi="仿宋_GB2312" w:eastAsia="仿宋_GB2312" w:cs="仿宋_GB2312"/>
          <w:color w:val="000000"/>
          <w:sz w:val="32"/>
          <w:szCs w:val="32"/>
        </w:rPr>
        <w:t>2019年度，我厅通过省政府新闻办召开4次新闻发布会。认真组织新中国成立70周年、交通强省建设、取消高速公路省界收费站、ETC发行、京杭大运河、小清河复航、“四好农村路”等重大主题系列宣传活动，在各大主流媒体上发表系列重要报道。厅主要负责同志和有关厅领导参加山东卫视《问政山东》、《服务面对面》、省人民广播电台的“阳光政务热线”等节目，现场回答问题、解读政策、回应关切。</w:t>
      </w:r>
    </w:p>
    <w:p>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drawing>
          <wp:anchor distT="0" distB="0" distL="114300" distR="114300" simplePos="0" relativeHeight="251659264" behindDoc="0" locked="0" layoutInCell="1" allowOverlap="1">
            <wp:simplePos x="0" y="0"/>
            <wp:positionH relativeFrom="column">
              <wp:posOffset>73660</wp:posOffset>
            </wp:positionH>
            <wp:positionV relativeFrom="paragraph">
              <wp:posOffset>2884170</wp:posOffset>
            </wp:positionV>
            <wp:extent cx="5059680" cy="2843530"/>
            <wp:effectExtent l="0" t="0" r="7620" b="13970"/>
            <wp:wrapSquare wrapText="bothSides"/>
            <wp:docPr id="3" name="图片 3" descr="159333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3330280"/>
                    <pic:cNvPicPr>
                      <a:picLocks noChangeAspect="1"/>
                    </pic:cNvPicPr>
                  </pic:nvPicPr>
                  <pic:blipFill>
                    <a:blip r:embed="rId9"/>
                    <a:stretch>
                      <a:fillRect/>
                    </a:stretch>
                  </pic:blipFill>
                  <pic:spPr>
                    <a:xfrm>
                      <a:off x="0" y="0"/>
                      <a:ext cx="5059680" cy="2843530"/>
                    </a:xfrm>
                    <a:prstGeom prst="rect">
                      <a:avLst/>
                    </a:prstGeom>
                  </pic:spPr>
                </pic:pic>
              </a:graphicData>
            </a:graphic>
          </wp:anchor>
        </w:drawing>
      </w:r>
      <w:r>
        <w:rPr>
          <w:rFonts w:hint="eastAsia" w:ascii="仿宋_GB2312" w:hAnsi="仿宋_GB2312" w:eastAsia="仿宋_GB2312" w:cs="仿宋_GB2312"/>
          <w:b/>
          <w:bCs/>
          <w:color w:val="000000"/>
          <w:kern w:val="0"/>
          <w:sz w:val="32"/>
          <w:szCs w:val="32"/>
        </w:rPr>
        <w:t>（五）做好人大代表建议和政协委员提案办理结果公开。</w:t>
      </w:r>
      <w:r>
        <w:rPr>
          <w:rFonts w:hint="eastAsia" w:ascii="仿宋_GB2312" w:hAnsi="仿宋_GB2312" w:eastAsia="仿宋_GB2312" w:cs="仿宋_GB2312"/>
          <w:color w:val="000000"/>
          <w:sz w:val="32"/>
          <w:szCs w:val="32"/>
        </w:rPr>
        <w:t>根据《山东省人民政府办公厅关于做好人大代表建议和政协提案办理结果公开工作的通知》（鲁政办字〔2016〕63号）要求，高度重视建议和提案办理结果公开工作。共承办人大代表建议103件，办复率100%；承办政协提案39件，办复率100%。同时，在门户网站设立专栏，集中发布人大代表建议和政协委员提案办理结果情况。</w:t>
      </w:r>
    </w:p>
    <w:p>
      <w:pPr>
        <w:ind w:firstLine="640" w:firstLineChars="200"/>
        <w:jc w:val="left"/>
        <w:rPr>
          <w:rFonts w:eastAsia="仿宋_GB2312"/>
        </w:rPr>
      </w:pPr>
      <w:r>
        <w:rPr>
          <w:rFonts w:hint="eastAsia" w:ascii="仿宋_GB2312" w:hAnsi="仿宋_GB2312" w:eastAsia="仿宋_GB2312" w:cs="仿宋_GB2312"/>
          <w:b/>
          <w:bCs/>
          <w:color w:val="000000"/>
          <w:kern w:val="0"/>
          <w:sz w:val="32"/>
          <w:szCs w:val="32"/>
        </w:rPr>
        <w:t>（六）依法依规做好依申请公开。</w:t>
      </w:r>
      <w:r>
        <w:rPr>
          <w:rFonts w:hint="eastAsia" w:ascii="仿宋_GB2312" w:hAnsi="仿宋_GB2312" w:eastAsia="仿宋_GB2312" w:cs="仿宋_GB2312"/>
          <w:color w:val="000000"/>
          <w:sz w:val="32"/>
          <w:szCs w:val="32"/>
        </w:rPr>
        <w:t>2019年度，共收到依申请公开事项46件，其中45件按时办结，1件结转2020年继续办理。主要涉及高速公路、国省道规划建设；交通基础设施、行业发展统计数据；行业管理方面的政策规定和收费标准等。我厅予以公开17件，部分公开5件，不予公开1件，无法提供19件，</w:t>
      </w:r>
      <w:r>
        <w:rPr>
          <w:rFonts w:hint="eastAsia" w:ascii="仿宋_GB2312" w:hAnsi="仿宋_GB2312" w:eastAsia="仿宋_GB2312" w:cs="仿宋_GB2312"/>
          <w:color w:val="000000"/>
          <w:sz w:val="32"/>
          <w:szCs w:val="32"/>
        </w:rPr>
        <w:t>不予处理</w:t>
      </w:r>
      <w:r>
        <w:rPr>
          <w:rFonts w:hint="eastAsia" w:ascii="仿宋_GB2312" w:hAnsi="仿宋_GB2312" w:eastAsia="仿宋_GB2312" w:cs="仿宋_GB2312"/>
          <w:color w:val="000000"/>
          <w:sz w:val="32"/>
          <w:szCs w:val="32"/>
        </w:rPr>
        <w:t>2件，其他处理1件。产生行政复议、行政诉讼各一件，</w:t>
      </w:r>
      <w:r>
        <w:rPr>
          <w:rFonts w:hint="eastAsia" w:ascii="仿宋_GB2312" w:hAnsi="仿宋_GB2312" w:eastAsia="仿宋_GB2312" w:cs="仿宋_GB2312"/>
          <w:color w:val="000000"/>
          <w:sz w:val="32"/>
          <w:szCs w:val="32"/>
        </w:rPr>
        <w:t>均结果</w:t>
      </w:r>
      <w:r>
        <w:rPr>
          <w:rFonts w:hint="eastAsia" w:ascii="仿宋_GB2312" w:hAnsi="仿宋_GB2312" w:eastAsia="仿宋_GB2312" w:cs="仿宋_GB2312"/>
          <w:color w:val="000000"/>
          <w:sz w:val="32"/>
          <w:szCs w:val="32"/>
        </w:rPr>
        <w:t>维持。</w:t>
      </w:r>
      <w:r>
        <w:drawing>
          <wp:inline distT="0" distB="0" distL="0" distR="0">
            <wp:extent cx="5274310" cy="29667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2966720"/>
                    </a:xfrm>
                    <a:prstGeom prst="rect">
                      <a:avLst/>
                    </a:prstGeom>
                  </pic:spPr>
                </pic:pic>
              </a:graphicData>
            </a:graphic>
          </wp:inline>
        </w:drawing>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在政府信息公开工作中，所提供投诉建议、检索查询、复制传送等均属无偿服务，未收取任何费用。</w:t>
      </w:r>
    </w:p>
    <w:p>
      <w:pPr>
        <w:pStyle w:val="4"/>
        <w:widowControl/>
        <w:spacing w:beforeAutospacing="0" w:afterAutospacing="0" w:line="600" w:lineRule="exact"/>
        <w:ind w:firstLine="640"/>
        <w:jc w:val="both"/>
        <w:rPr>
          <w:rFonts w:ascii="黑体" w:hAnsi="黑体" w:eastAsia="黑体" w:cs="黑体"/>
          <w:color w:val="000000"/>
          <w:sz w:val="32"/>
          <w:szCs w:val="32"/>
        </w:rPr>
      </w:pPr>
    </w:p>
    <w:p>
      <w:pPr>
        <w:pStyle w:val="4"/>
        <w:widowControl/>
        <w:spacing w:beforeAutospacing="0" w:afterAutospacing="0" w:line="600" w:lineRule="exact"/>
        <w:ind w:firstLine="640"/>
        <w:jc w:val="both"/>
        <w:rPr>
          <w:rFonts w:ascii="黑体" w:hAnsi="黑体" w:eastAsia="黑体" w:cs="黑体"/>
          <w:color w:val="000000"/>
          <w:sz w:val="32"/>
          <w:szCs w:val="32"/>
        </w:rPr>
      </w:pPr>
      <w:r>
        <w:rPr>
          <w:rFonts w:hint="eastAsia" w:ascii="黑体" w:hAnsi="黑体" w:eastAsia="黑体" w:cs="黑体"/>
          <w:color w:val="000000"/>
          <w:sz w:val="32"/>
          <w:szCs w:val="32"/>
        </w:rPr>
        <w:t>二、主动公开政府信息情况</w:t>
      </w:r>
    </w:p>
    <w:tbl>
      <w:tblPr>
        <w:tblStyle w:val="7"/>
        <w:tblW w:w="8708" w:type="dxa"/>
        <w:jc w:val="center"/>
        <w:tblInd w:w="0" w:type="dxa"/>
        <w:tblLayout w:type="fixed"/>
        <w:tblCellMar>
          <w:top w:w="0" w:type="dxa"/>
          <w:left w:w="0" w:type="dxa"/>
          <w:bottom w:w="0" w:type="dxa"/>
          <w:right w:w="0" w:type="dxa"/>
        </w:tblCellMar>
      </w:tblPr>
      <w:tblGrid>
        <w:gridCol w:w="2521"/>
        <w:gridCol w:w="569"/>
        <w:gridCol w:w="2264"/>
        <w:gridCol w:w="1584"/>
        <w:gridCol w:w="1770"/>
      </w:tblGrid>
      <w:tr>
        <w:tblPrEx>
          <w:tblLayout w:type="fixed"/>
          <w:tblCellMar>
            <w:top w:w="0" w:type="dxa"/>
            <w:left w:w="0" w:type="dxa"/>
            <w:bottom w:w="0" w:type="dxa"/>
            <w:right w:w="0"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sz w:val="28"/>
                <w:szCs w:val="28"/>
              </w:rPr>
            </w:pPr>
            <w:r>
              <w:rPr>
                <w:rFonts w:hint="eastAsia" w:ascii="黑体" w:hAnsi="黑体" w:eastAsia="黑体" w:cs="黑体"/>
                <w:color w:val="000000"/>
                <w:kern w:val="0"/>
                <w:sz w:val="28"/>
                <w:szCs w:val="28"/>
              </w:rPr>
              <w:t>第二十条第（一）项</w:t>
            </w:r>
          </w:p>
        </w:tc>
      </w:tr>
      <w:tr>
        <w:tblPrEx>
          <w:tblLayout w:type="fixed"/>
          <w:tblCellMar>
            <w:top w:w="0" w:type="dxa"/>
            <w:left w:w="0" w:type="dxa"/>
            <w:bottom w:w="0" w:type="dxa"/>
            <w:right w:w="0" w:type="dxa"/>
          </w:tblCellMar>
        </w:tblPrEx>
        <w:trPr>
          <w:trHeight w:val="866" w:hRule="atLeast"/>
          <w:jc w:val="center"/>
        </w:trPr>
        <w:tc>
          <w:tcPr>
            <w:tcW w:w="252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信息内容</w:t>
            </w:r>
          </w:p>
        </w:tc>
        <w:tc>
          <w:tcPr>
            <w:tcW w:w="2833" w:type="dxa"/>
            <w:gridSpan w:val="2"/>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本年新制作数量</w:t>
            </w:r>
          </w:p>
        </w:tc>
        <w:tc>
          <w:tcPr>
            <w:tcW w:w="1584"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本年新</w:t>
            </w:r>
            <w:r>
              <w:rPr>
                <w:rFonts w:hint="eastAsia" w:ascii="黑体" w:hAnsi="黑体" w:eastAsia="黑体" w:cs="黑体"/>
                <w:color w:val="000000"/>
                <w:kern w:val="0"/>
                <w:sz w:val="28"/>
                <w:szCs w:val="28"/>
              </w:rPr>
              <w:br w:type="textWrapping"/>
            </w:r>
            <w:r>
              <w:rPr>
                <w:rFonts w:hint="eastAsia" w:ascii="黑体" w:hAnsi="黑体" w:eastAsia="黑体" w:cs="黑体"/>
                <w:color w:val="000000"/>
                <w:kern w:val="0"/>
                <w:sz w:val="28"/>
                <w:szCs w:val="28"/>
              </w:rPr>
              <w:t>公开数量</w:t>
            </w:r>
          </w:p>
        </w:tc>
        <w:tc>
          <w:tcPr>
            <w:tcW w:w="177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对外公开</w:t>
            </w:r>
          </w:p>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总数量</w:t>
            </w:r>
          </w:p>
        </w:tc>
      </w:tr>
      <w:tr>
        <w:tblPrEx>
          <w:tblLayout w:type="fixed"/>
          <w:tblCellMar>
            <w:top w:w="0" w:type="dxa"/>
            <w:left w:w="0" w:type="dxa"/>
            <w:bottom w:w="0" w:type="dxa"/>
            <w:right w:w="0" w:type="dxa"/>
          </w:tblCellMar>
        </w:tblPrEx>
        <w:trPr>
          <w:trHeight w:val="399" w:hRule="atLeast"/>
          <w:jc w:val="center"/>
        </w:trPr>
        <w:tc>
          <w:tcPr>
            <w:tcW w:w="252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规章</w:t>
            </w:r>
          </w:p>
        </w:tc>
        <w:tc>
          <w:tcPr>
            <w:tcW w:w="283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0</w:t>
            </w:r>
          </w:p>
        </w:tc>
        <w:tc>
          <w:tcPr>
            <w:tcW w:w="15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0</w:t>
            </w:r>
          </w:p>
        </w:tc>
        <w:tc>
          <w:tcPr>
            <w:tcW w:w="177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6</w:t>
            </w:r>
          </w:p>
        </w:tc>
      </w:tr>
      <w:tr>
        <w:tblPrEx>
          <w:tblLayout w:type="fixed"/>
          <w:tblCellMar>
            <w:top w:w="0" w:type="dxa"/>
            <w:left w:w="0" w:type="dxa"/>
            <w:bottom w:w="0" w:type="dxa"/>
            <w:right w:w="0" w:type="dxa"/>
          </w:tblCellMar>
        </w:tblPrEx>
        <w:trPr>
          <w:trHeight w:val="404" w:hRule="atLeast"/>
          <w:jc w:val="center"/>
        </w:trPr>
        <w:tc>
          <w:tcPr>
            <w:tcW w:w="252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规范性文件</w:t>
            </w:r>
          </w:p>
        </w:tc>
        <w:tc>
          <w:tcPr>
            <w:tcW w:w="283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1　</w:t>
            </w:r>
          </w:p>
        </w:tc>
        <w:tc>
          <w:tcPr>
            <w:tcW w:w="15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xml:space="preserve"> 1 </w:t>
            </w:r>
          </w:p>
        </w:tc>
        <w:tc>
          <w:tcPr>
            <w:tcW w:w="177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18　</w:t>
            </w:r>
          </w:p>
        </w:tc>
      </w:tr>
      <w:tr>
        <w:tblPrEx>
          <w:tblLayout w:type="fixed"/>
          <w:tblCellMar>
            <w:top w:w="0" w:type="dxa"/>
            <w:left w:w="0" w:type="dxa"/>
            <w:bottom w:w="0" w:type="dxa"/>
            <w:right w:w="0"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第二十条第（五）项</w:t>
            </w:r>
          </w:p>
        </w:tc>
      </w:tr>
      <w:tr>
        <w:tblPrEx>
          <w:tblLayout w:type="fixed"/>
          <w:tblCellMar>
            <w:top w:w="0" w:type="dxa"/>
            <w:left w:w="0" w:type="dxa"/>
            <w:bottom w:w="0" w:type="dxa"/>
            <w:right w:w="0" w:type="dxa"/>
          </w:tblCellMar>
        </w:tblPrEx>
        <w:trPr>
          <w:trHeight w:val="516" w:hRule="atLeast"/>
          <w:jc w:val="center"/>
        </w:trPr>
        <w:tc>
          <w:tcPr>
            <w:tcW w:w="252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信息内容</w:t>
            </w:r>
          </w:p>
        </w:tc>
        <w:tc>
          <w:tcPr>
            <w:tcW w:w="2833" w:type="dxa"/>
            <w:gridSpan w:val="2"/>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上一年项目数量</w:t>
            </w:r>
          </w:p>
        </w:tc>
        <w:tc>
          <w:tcPr>
            <w:tcW w:w="1584"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本年增/减</w:t>
            </w:r>
          </w:p>
        </w:tc>
        <w:tc>
          <w:tcPr>
            <w:tcW w:w="177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处理决定数量</w:t>
            </w:r>
          </w:p>
        </w:tc>
      </w:tr>
      <w:tr>
        <w:tblPrEx>
          <w:tblLayout w:type="fixed"/>
          <w:tblCellMar>
            <w:top w:w="0" w:type="dxa"/>
            <w:left w:w="0" w:type="dxa"/>
            <w:bottom w:w="0" w:type="dxa"/>
            <w:right w:w="0" w:type="dxa"/>
          </w:tblCellMar>
        </w:tblPrEx>
        <w:trPr>
          <w:trHeight w:val="455" w:hRule="atLeast"/>
          <w:jc w:val="center"/>
        </w:trPr>
        <w:tc>
          <w:tcPr>
            <w:tcW w:w="252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行政许可</w:t>
            </w:r>
          </w:p>
        </w:tc>
        <w:tc>
          <w:tcPr>
            <w:tcW w:w="283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25845　</w:t>
            </w:r>
          </w:p>
        </w:tc>
        <w:tc>
          <w:tcPr>
            <w:tcW w:w="15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34903</w:t>
            </w:r>
          </w:p>
        </w:tc>
        <w:tc>
          <w:tcPr>
            <w:tcW w:w="177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60748　</w:t>
            </w:r>
          </w:p>
        </w:tc>
      </w:tr>
      <w:tr>
        <w:tblPrEx>
          <w:tblLayout w:type="fixed"/>
          <w:tblCellMar>
            <w:top w:w="0" w:type="dxa"/>
            <w:left w:w="0" w:type="dxa"/>
            <w:bottom w:w="0" w:type="dxa"/>
            <w:right w:w="0" w:type="dxa"/>
          </w:tblCellMar>
        </w:tblPrEx>
        <w:trPr>
          <w:trHeight w:val="550" w:hRule="atLeast"/>
          <w:jc w:val="center"/>
        </w:trPr>
        <w:tc>
          <w:tcPr>
            <w:tcW w:w="252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其他对外管理服务事项</w:t>
            </w:r>
          </w:p>
        </w:tc>
        <w:tc>
          <w:tcPr>
            <w:tcW w:w="283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8968</w:t>
            </w:r>
          </w:p>
        </w:tc>
        <w:tc>
          <w:tcPr>
            <w:tcW w:w="15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1393　</w:t>
            </w:r>
          </w:p>
        </w:tc>
        <w:tc>
          <w:tcPr>
            <w:tcW w:w="177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11402　</w:t>
            </w:r>
          </w:p>
        </w:tc>
      </w:tr>
      <w:tr>
        <w:tblPrEx>
          <w:tblLayout w:type="fixed"/>
          <w:tblCellMar>
            <w:top w:w="0" w:type="dxa"/>
            <w:left w:w="0" w:type="dxa"/>
            <w:bottom w:w="0" w:type="dxa"/>
            <w:right w:w="0"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第二十条第（六）项</w:t>
            </w:r>
          </w:p>
        </w:tc>
      </w:tr>
      <w:tr>
        <w:tblPrEx>
          <w:tblLayout w:type="fixed"/>
          <w:tblCellMar>
            <w:top w:w="0" w:type="dxa"/>
            <w:left w:w="0" w:type="dxa"/>
            <w:bottom w:w="0" w:type="dxa"/>
            <w:right w:w="0" w:type="dxa"/>
          </w:tblCellMar>
        </w:tblPrEx>
        <w:trPr>
          <w:trHeight w:val="547" w:hRule="atLeast"/>
          <w:jc w:val="center"/>
        </w:trPr>
        <w:tc>
          <w:tcPr>
            <w:tcW w:w="252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信息内容</w:t>
            </w:r>
          </w:p>
        </w:tc>
        <w:tc>
          <w:tcPr>
            <w:tcW w:w="2833" w:type="dxa"/>
            <w:gridSpan w:val="2"/>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上一年项目数量</w:t>
            </w:r>
          </w:p>
        </w:tc>
        <w:tc>
          <w:tcPr>
            <w:tcW w:w="1584"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本年增/减</w:t>
            </w:r>
          </w:p>
        </w:tc>
        <w:tc>
          <w:tcPr>
            <w:tcW w:w="177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处理决定数</w:t>
            </w:r>
            <w:r>
              <w:rPr>
                <w:rFonts w:hint="eastAsia" w:ascii="黑体" w:hAnsi="黑体" w:eastAsia="黑体" w:cs="黑体"/>
                <w:color w:val="000000"/>
                <w:kern w:val="0"/>
                <w:sz w:val="28"/>
                <w:szCs w:val="28"/>
              </w:rPr>
              <w:t>量</w:t>
            </w:r>
          </w:p>
        </w:tc>
      </w:tr>
      <w:tr>
        <w:tblPrEx>
          <w:tblLayout w:type="fixed"/>
          <w:tblCellMar>
            <w:top w:w="0" w:type="dxa"/>
            <w:left w:w="0" w:type="dxa"/>
            <w:bottom w:w="0" w:type="dxa"/>
            <w:right w:w="0" w:type="dxa"/>
          </w:tblCellMar>
        </w:tblPrEx>
        <w:trPr>
          <w:trHeight w:val="430" w:hRule="atLeast"/>
          <w:jc w:val="center"/>
        </w:trPr>
        <w:tc>
          <w:tcPr>
            <w:tcW w:w="252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行政处罚</w:t>
            </w:r>
          </w:p>
        </w:tc>
        <w:tc>
          <w:tcPr>
            <w:tcW w:w="283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0　</w:t>
            </w:r>
          </w:p>
        </w:tc>
        <w:tc>
          <w:tcPr>
            <w:tcW w:w="15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0</w:t>
            </w:r>
          </w:p>
        </w:tc>
        <w:tc>
          <w:tcPr>
            <w:tcW w:w="177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0　</w:t>
            </w:r>
          </w:p>
        </w:tc>
      </w:tr>
      <w:tr>
        <w:tblPrEx>
          <w:tblLayout w:type="fixed"/>
          <w:tblCellMar>
            <w:top w:w="0" w:type="dxa"/>
            <w:left w:w="0" w:type="dxa"/>
            <w:bottom w:w="0" w:type="dxa"/>
            <w:right w:w="0" w:type="dxa"/>
          </w:tblCellMar>
        </w:tblPrEx>
        <w:trPr>
          <w:trHeight w:val="409" w:hRule="atLeast"/>
          <w:jc w:val="center"/>
        </w:trPr>
        <w:tc>
          <w:tcPr>
            <w:tcW w:w="252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行政强制</w:t>
            </w:r>
          </w:p>
        </w:tc>
        <w:tc>
          <w:tcPr>
            <w:tcW w:w="283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0　</w:t>
            </w:r>
          </w:p>
        </w:tc>
        <w:tc>
          <w:tcPr>
            <w:tcW w:w="15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0　</w:t>
            </w:r>
          </w:p>
        </w:tc>
        <w:tc>
          <w:tcPr>
            <w:tcW w:w="177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0　</w:t>
            </w:r>
          </w:p>
        </w:tc>
      </w:tr>
      <w:tr>
        <w:tblPrEx>
          <w:tblLayout w:type="fixed"/>
          <w:tblCellMar>
            <w:top w:w="0" w:type="dxa"/>
            <w:left w:w="0" w:type="dxa"/>
            <w:bottom w:w="0" w:type="dxa"/>
            <w:right w:w="0"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第二十条第（八）项</w:t>
            </w:r>
          </w:p>
        </w:tc>
      </w:tr>
      <w:tr>
        <w:tblPrEx>
          <w:tblLayout w:type="fixed"/>
          <w:tblCellMar>
            <w:top w:w="0" w:type="dxa"/>
            <w:left w:w="0" w:type="dxa"/>
            <w:bottom w:w="0" w:type="dxa"/>
            <w:right w:w="0" w:type="dxa"/>
          </w:tblCellMar>
        </w:tblPrEx>
        <w:trPr>
          <w:trHeight w:val="447" w:hRule="atLeast"/>
          <w:jc w:val="center"/>
        </w:trPr>
        <w:tc>
          <w:tcPr>
            <w:tcW w:w="252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信息内容</w:t>
            </w:r>
          </w:p>
        </w:tc>
        <w:tc>
          <w:tcPr>
            <w:tcW w:w="283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上一年项目数量</w:t>
            </w:r>
          </w:p>
        </w:tc>
        <w:tc>
          <w:tcPr>
            <w:tcW w:w="3354"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本年增/减</w:t>
            </w:r>
          </w:p>
        </w:tc>
      </w:tr>
      <w:tr>
        <w:tblPrEx>
          <w:tblLayout w:type="fixed"/>
          <w:tblCellMar>
            <w:top w:w="0" w:type="dxa"/>
            <w:left w:w="0" w:type="dxa"/>
            <w:bottom w:w="0" w:type="dxa"/>
            <w:right w:w="0" w:type="dxa"/>
          </w:tblCellMar>
        </w:tblPrEx>
        <w:trPr>
          <w:trHeight w:val="440" w:hRule="atLeast"/>
          <w:jc w:val="center"/>
        </w:trPr>
        <w:tc>
          <w:tcPr>
            <w:tcW w:w="252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行政事业性收费</w:t>
            </w:r>
          </w:p>
        </w:tc>
        <w:tc>
          <w:tcPr>
            <w:tcW w:w="283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　</w:t>
            </w:r>
          </w:p>
        </w:tc>
        <w:tc>
          <w:tcPr>
            <w:tcW w:w="3354" w:type="dxa"/>
            <w:gridSpan w:val="2"/>
            <w:tcBorders>
              <w:top w:val="nil"/>
              <w:left w:val="nil"/>
              <w:bottom w:val="single" w:color="auto" w:sz="8" w:space="0"/>
              <w:right w:val="single" w:color="000000"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0</w:t>
            </w:r>
          </w:p>
        </w:tc>
      </w:tr>
      <w:tr>
        <w:tblPrEx>
          <w:tblLayout w:type="fixed"/>
          <w:tblCellMar>
            <w:top w:w="0" w:type="dxa"/>
            <w:left w:w="0" w:type="dxa"/>
            <w:bottom w:w="0" w:type="dxa"/>
            <w:right w:w="0"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第二十条第（九）项</w:t>
            </w:r>
          </w:p>
        </w:tc>
      </w:tr>
      <w:tr>
        <w:tblPrEx>
          <w:tblLayout w:type="fixed"/>
          <w:tblCellMar>
            <w:top w:w="0" w:type="dxa"/>
            <w:left w:w="0" w:type="dxa"/>
            <w:bottom w:w="0" w:type="dxa"/>
            <w:right w:w="0"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信息内容</w:t>
            </w:r>
          </w:p>
        </w:tc>
        <w:tc>
          <w:tcPr>
            <w:tcW w:w="226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采购项目数量</w:t>
            </w:r>
          </w:p>
        </w:tc>
        <w:tc>
          <w:tcPr>
            <w:tcW w:w="3354"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采购总</w:t>
            </w:r>
            <w:r>
              <w:rPr>
                <w:rFonts w:hint="eastAsia" w:ascii="黑体" w:hAnsi="黑体" w:eastAsia="黑体" w:cs="黑体"/>
                <w:color w:val="000000"/>
                <w:kern w:val="0"/>
                <w:sz w:val="28"/>
                <w:szCs w:val="28"/>
              </w:rPr>
              <w:t>金额</w:t>
            </w:r>
          </w:p>
        </w:tc>
      </w:tr>
      <w:tr>
        <w:tblPrEx>
          <w:tblLayout w:type="fixed"/>
          <w:tblCellMar>
            <w:top w:w="0" w:type="dxa"/>
            <w:left w:w="0" w:type="dxa"/>
            <w:bottom w:w="0" w:type="dxa"/>
            <w:right w:w="0"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政府集中采购</w:t>
            </w:r>
          </w:p>
        </w:tc>
        <w:tc>
          <w:tcPr>
            <w:tcW w:w="226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295</w:t>
            </w:r>
          </w:p>
        </w:tc>
        <w:tc>
          <w:tcPr>
            <w:tcW w:w="3354" w:type="dxa"/>
            <w:gridSpan w:val="2"/>
            <w:tcBorders>
              <w:top w:val="nil"/>
              <w:left w:val="nil"/>
              <w:bottom w:val="single" w:color="auto" w:sz="8" w:space="0"/>
              <w:right w:val="single" w:color="000000" w:sz="8" w:space="0"/>
            </w:tcBorders>
            <w:shd w:val="clear" w:color="auto" w:fill="auto"/>
            <w:tcMar>
              <w:left w:w="108" w:type="dxa"/>
              <w:right w:w="108" w:type="dxa"/>
            </w:tcMar>
            <w:vAlign w:val="center"/>
          </w:tcPr>
          <w:p>
            <w:pPr>
              <w:spacing w:line="400" w:lineRule="exact"/>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13148万元</w:t>
            </w:r>
          </w:p>
        </w:tc>
      </w:tr>
    </w:tbl>
    <w:p>
      <w:pPr>
        <w:pStyle w:val="4"/>
        <w:widowControl/>
        <w:spacing w:beforeAutospacing="0" w:afterAutospacing="0" w:line="600" w:lineRule="exact"/>
        <w:ind w:firstLine="640"/>
        <w:jc w:val="both"/>
        <w:rPr>
          <w:rFonts w:ascii="黑体" w:hAnsi="黑体" w:eastAsia="黑体" w:cs="黑体"/>
          <w:color w:val="000000"/>
          <w:sz w:val="32"/>
          <w:szCs w:val="32"/>
        </w:rPr>
      </w:pPr>
    </w:p>
    <w:p>
      <w:pPr>
        <w:pStyle w:val="4"/>
        <w:widowControl/>
        <w:spacing w:beforeAutospacing="0" w:afterAutospacing="0" w:line="600" w:lineRule="exact"/>
        <w:ind w:firstLine="640"/>
        <w:jc w:val="both"/>
        <w:rPr>
          <w:rFonts w:ascii="黑体" w:hAnsi="黑体" w:eastAsia="黑体" w:cs="黑体"/>
          <w:color w:val="000000"/>
          <w:sz w:val="32"/>
          <w:szCs w:val="32"/>
        </w:rPr>
      </w:pPr>
    </w:p>
    <w:p>
      <w:pPr>
        <w:pStyle w:val="4"/>
        <w:widowControl/>
        <w:spacing w:beforeAutospacing="0" w:afterAutospacing="0" w:line="600" w:lineRule="exact"/>
        <w:ind w:firstLine="640"/>
        <w:jc w:val="both"/>
        <w:rPr>
          <w:rFonts w:ascii="黑体" w:hAnsi="黑体" w:eastAsia="黑体" w:cs="黑体"/>
          <w:color w:val="000000"/>
          <w:sz w:val="32"/>
          <w:szCs w:val="32"/>
        </w:rPr>
      </w:pPr>
      <w:r>
        <w:rPr>
          <w:rFonts w:hint="eastAsia" w:ascii="黑体" w:hAnsi="黑体" w:eastAsia="黑体" w:cs="黑体"/>
          <w:color w:val="000000"/>
          <w:sz w:val="32"/>
          <w:szCs w:val="32"/>
        </w:rPr>
        <w:t>三、收到和处理政府信息公开申请情况</w:t>
      </w:r>
    </w:p>
    <w:tbl>
      <w:tblPr>
        <w:tblStyle w:val="7"/>
        <w:tblW w:w="9071" w:type="dxa"/>
        <w:jc w:val="center"/>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811"/>
        <w:gridCol w:w="3684"/>
        <w:gridCol w:w="608"/>
        <w:gridCol w:w="567"/>
        <w:gridCol w:w="567"/>
        <w:gridCol w:w="567"/>
        <w:gridCol w:w="567"/>
        <w:gridCol w:w="540"/>
        <w:gridCol w:w="635"/>
      </w:tblGrid>
      <w:tr>
        <w:trPr>
          <w:trHeight w:val="413" w:hRule="atLeast"/>
          <w:jc w:val="center"/>
        </w:trPr>
        <w:tc>
          <w:tcPr>
            <w:tcW w:w="5020"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（本列数据的勾</w:t>
            </w:r>
            <w:r>
              <w:rPr>
                <w:rFonts w:hint="eastAsia" w:ascii="黑体" w:hAnsi="黑体" w:eastAsia="黑体" w:cs="黑体"/>
                <w:color w:val="000000"/>
                <w:kern w:val="0"/>
                <w:sz w:val="28"/>
                <w:szCs w:val="28"/>
              </w:rPr>
              <w:t>稽</w:t>
            </w:r>
            <w:r>
              <w:rPr>
                <w:rFonts w:hint="eastAsia" w:ascii="黑体" w:hAnsi="黑体" w:eastAsia="黑体" w:cs="黑体"/>
                <w:color w:val="000000"/>
                <w:kern w:val="0"/>
                <w:sz w:val="28"/>
                <w:szCs w:val="28"/>
              </w:rPr>
              <w:t>关系为：第一项加第二项之和，</w:t>
            </w:r>
          </w:p>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等于第三项加第四项之和）</w:t>
            </w:r>
          </w:p>
        </w:tc>
        <w:tc>
          <w:tcPr>
            <w:tcW w:w="4051"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申请人情况</w:t>
            </w:r>
          </w:p>
        </w:tc>
      </w:tr>
      <w:tr>
        <w:trPr>
          <w:trHeight w:val="425" w:hRule="atLeast"/>
          <w:jc w:val="center"/>
        </w:trPr>
        <w:tc>
          <w:tcPr>
            <w:tcW w:w="5020"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p>
        </w:tc>
        <w:tc>
          <w:tcPr>
            <w:tcW w:w="60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自然人</w:t>
            </w:r>
          </w:p>
        </w:tc>
        <w:tc>
          <w:tcPr>
            <w:tcW w:w="2808"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法人或其他组织</w:t>
            </w:r>
          </w:p>
        </w:tc>
        <w:tc>
          <w:tcPr>
            <w:tcW w:w="635"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总计</w:t>
            </w:r>
          </w:p>
        </w:tc>
      </w:tr>
      <w:tr>
        <w:trPr>
          <w:trHeight w:val="1127" w:hRule="atLeast"/>
          <w:jc w:val="center"/>
        </w:trPr>
        <w:tc>
          <w:tcPr>
            <w:tcW w:w="5020"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p>
        </w:tc>
        <w:tc>
          <w:tcPr>
            <w:tcW w:w="60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商业企业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科研机构</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社会公益组织</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法律服务机构</w:t>
            </w:r>
          </w:p>
        </w:tc>
        <w:tc>
          <w:tcPr>
            <w:tcW w:w="54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其他</w:t>
            </w:r>
          </w:p>
        </w:tc>
        <w:tc>
          <w:tcPr>
            <w:tcW w:w="635"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color w:val="000000"/>
                <w:kern w:val="0"/>
                <w:sz w:val="28"/>
                <w:szCs w:val="28"/>
              </w:rPr>
            </w:pPr>
          </w:p>
        </w:tc>
      </w:tr>
      <w:tr>
        <w:trPr>
          <w:jc w:val="center"/>
        </w:trPr>
        <w:tc>
          <w:tcPr>
            <w:tcW w:w="5020"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一、本年新收政府信息公开申请数量</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45</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46</w:t>
            </w:r>
          </w:p>
        </w:tc>
      </w:tr>
      <w:tr>
        <w:trPr>
          <w:jc w:val="center"/>
        </w:trPr>
        <w:tc>
          <w:tcPr>
            <w:tcW w:w="5020"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二、上年结转政府信息公开申请数量</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r>
      <w:tr>
        <w:trPr>
          <w:jc w:val="center"/>
        </w:trPr>
        <w:tc>
          <w:tcPr>
            <w:tcW w:w="52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三、本年度办理结果</w:t>
            </w:r>
          </w:p>
        </w:tc>
        <w:tc>
          <w:tcPr>
            <w:tcW w:w="4495"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（一）予以公开</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17</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17</w:t>
            </w:r>
          </w:p>
        </w:tc>
      </w:tr>
      <w:tr>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4495"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（二）部分公开（区分处理的，只计这一情形，不计其他情形）</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5</w:t>
            </w:r>
          </w:p>
        </w:tc>
      </w:tr>
      <w:tr>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07" w:leftChars="-51"/>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（三）不予公开</w:t>
            </w: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1.属于国家秘密</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r>
      <w:tr>
        <w:trPr>
          <w:trHeight w:val="731"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2.其他法律行政法规禁止公开</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r>
      <w:tr>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3.危及“三安全一稳定”</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r>
      <w:tr>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4.保护第三方合法权益</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r>
      <w:tr>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5.属于三类内部事务信息</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r>
      <w:tr>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6.属于四类过程性信息</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r>
      <w:tr>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7.属于行政执法案卷</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r>
      <w:tr>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8.属于行政查询事项</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r>
      <w:tr>
        <w:trPr>
          <w:trHeight w:val="77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07" w:leftChars="-51"/>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（四）无法提供</w:t>
            </w: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1.本机关不掌握相关政府信息</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14</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14</w:t>
            </w:r>
          </w:p>
        </w:tc>
      </w:tr>
      <w:tr>
        <w:trPr>
          <w:trHeight w:val="791"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07" w:leftChars="-51"/>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2.没有现成信息需要另行制作</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3</w:t>
            </w:r>
          </w:p>
        </w:tc>
      </w:tr>
      <w:tr>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07" w:leftChars="-51"/>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3.补正后申请内容仍不明确</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r>
      <w:tr>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07" w:leftChars="-51"/>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（五）不予处理</w:t>
            </w: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1.信访举报投诉类申请</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r>
      <w:tr>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2.重复申请</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r>
      <w:tr>
        <w:trPr>
          <w:trHeight w:val="51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3.要求提供公开出版物</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r>
      <w:tr>
        <w:trPr>
          <w:trHeight w:val="52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4.无正当理由大量反复申请</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r>
      <w:tr>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811"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3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5.要求行政机关确认或重新</w:t>
            </w:r>
          </w:p>
          <w:p>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出具已获取信息</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r>
      <w:tr>
        <w:trPr>
          <w:trHeight w:val="491"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4495"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（六）其他处理</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r>
      <w:tr>
        <w:trPr>
          <w:trHeight w:val="561"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p>
        </w:tc>
        <w:tc>
          <w:tcPr>
            <w:tcW w:w="4495"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（七）总计</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44</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bottom"/>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45</w:t>
            </w:r>
          </w:p>
        </w:tc>
      </w:tr>
      <w:tr>
        <w:trPr>
          <w:jc w:val="center"/>
        </w:trPr>
        <w:tc>
          <w:tcPr>
            <w:tcW w:w="5020"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四、结转下年度继续办理</w:t>
            </w:r>
          </w:p>
        </w:tc>
        <w:tc>
          <w:tcPr>
            <w:tcW w:w="60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r>
    </w:tbl>
    <w:p>
      <w:pPr>
        <w:pStyle w:val="4"/>
        <w:widowControl/>
        <w:spacing w:beforeAutospacing="0" w:afterAutospacing="0" w:line="600" w:lineRule="exact"/>
        <w:ind w:firstLine="640"/>
        <w:jc w:val="both"/>
        <w:rPr>
          <w:rFonts w:ascii="黑体" w:hAnsi="黑体" w:eastAsia="黑体" w:cs="黑体"/>
          <w:color w:val="000000"/>
          <w:sz w:val="32"/>
          <w:szCs w:val="32"/>
        </w:rPr>
      </w:pPr>
    </w:p>
    <w:p>
      <w:pPr>
        <w:pStyle w:val="4"/>
        <w:widowControl/>
        <w:spacing w:beforeAutospacing="0" w:afterAutospacing="0" w:line="600" w:lineRule="exact"/>
        <w:ind w:firstLine="640"/>
        <w:jc w:val="both"/>
        <w:rPr>
          <w:rFonts w:ascii="黑体" w:hAnsi="黑体" w:eastAsia="黑体" w:cs="黑体"/>
          <w:color w:val="000000"/>
          <w:sz w:val="32"/>
          <w:szCs w:val="32"/>
        </w:rPr>
      </w:pPr>
      <w:r>
        <w:rPr>
          <w:rFonts w:hint="eastAsia" w:ascii="黑体" w:hAnsi="黑体" w:eastAsia="黑体" w:cs="黑体"/>
          <w:color w:val="000000"/>
          <w:sz w:val="32"/>
          <w:szCs w:val="32"/>
        </w:rPr>
        <w:t>四、政府信息公开行政复议、行政诉讼情况</w:t>
      </w:r>
    </w:p>
    <w:tbl>
      <w:tblPr>
        <w:tblStyle w:val="7"/>
        <w:tblW w:w="9071" w:type="dxa"/>
        <w:jc w:val="center"/>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449"/>
        <w:gridCol w:w="759"/>
        <w:gridCol w:w="491"/>
        <w:gridCol w:w="533"/>
        <w:gridCol w:w="684"/>
        <w:gridCol w:w="533"/>
        <w:gridCol w:w="781"/>
        <w:gridCol w:w="702"/>
        <w:gridCol w:w="508"/>
        <w:gridCol w:w="476"/>
        <w:gridCol w:w="683"/>
        <w:gridCol w:w="750"/>
        <w:gridCol w:w="512"/>
        <w:gridCol w:w="606"/>
      </w:tblGrid>
      <w:tr>
        <w:trPr>
          <w:trHeight w:val="497" w:hRule="atLeast"/>
          <w:jc w:val="center"/>
        </w:trPr>
        <w:tc>
          <w:tcPr>
            <w:tcW w:w="2836"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sz w:val="28"/>
                <w:szCs w:val="28"/>
              </w:rPr>
            </w:pPr>
            <w:r>
              <w:rPr>
                <w:rFonts w:hint="eastAsia" w:ascii="黑体" w:hAnsi="黑体" w:eastAsia="黑体" w:cs="黑体"/>
                <w:kern w:val="0"/>
                <w:sz w:val="28"/>
                <w:szCs w:val="28"/>
              </w:rPr>
              <w:t>行政复议</w:t>
            </w:r>
          </w:p>
        </w:tc>
        <w:tc>
          <w:tcPr>
            <w:tcW w:w="6235"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sz w:val="28"/>
                <w:szCs w:val="28"/>
              </w:rPr>
            </w:pPr>
            <w:r>
              <w:rPr>
                <w:rFonts w:hint="eastAsia" w:ascii="黑体" w:hAnsi="黑体" w:eastAsia="黑体" w:cs="黑体"/>
                <w:kern w:val="0"/>
                <w:sz w:val="28"/>
                <w:szCs w:val="28"/>
              </w:rPr>
              <w:t>行政诉讼</w:t>
            </w:r>
          </w:p>
        </w:tc>
      </w:tr>
      <w:tr>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49" w:leftChars="-71" w:right="-170" w:rightChars="-81"/>
              <w:jc w:val="center"/>
              <w:rPr>
                <w:rFonts w:ascii="黑体" w:hAnsi="黑体" w:eastAsia="黑体" w:cs="黑体"/>
                <w:kern w:val="0"/>
                <w:sz w:val="28"/>
                <w:szCs w:val="28"/>
              </w:rPr>
            </w:pPr>
            <w:r>
              <w:rPr>
                <w:rFonts w:hint="eastAsia" w:ascii="黑体" w:hAnsi="黑体" w:eastAsia="黑体" w:cs="黑体"/>
                <w:kern w:val="0"/>
                <w:sz w:val="28"/>
                <w:szCs w:val="28"/>
              </w:rPr>
              <w:t>结果</w:t>
            </w:r>
          </w:p>
          <w:p>
            <w:pPr>
              <w:widowControl/>
              <w:spacing w:line="400" w:lineRule="exact"/>
              <w:ind w:left="-149" w:leftChars="-71" w:right="-170" w:rightChars="-81"/>
              <w:jc w:val="center"/>
              <w:rPr>
                <w:rFonts w:ascii="黑体" w:hAnsi="黑体" w:eastAsia="黑体" w:cs="黑体"/>
                <w:sz w:val="28"/>
                <w:szCs w:val="28"/>
              </w:rPr>
            </w:pPr>
            <w:r>
              <w:rPr>
                <w:rFonts w:hint="eastAsia" w:ascii="黑体" w:hAnsi="黑体" w:eastAsia="黑体" w:cs="黑体"/>
                <w:kern w:val="0"/>
                <w:sz w:val="28"/>
                <w:szCs w:val="28"/>
              </w:rPr>
              <w:t>维持</w:t>
            </w:r>
          </w:p>
        </w:tc>
        <w:tc>
          <w:tcPr>
            <w:tcW w:w="449"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43" w:leftChars="-21" w:right="-132" w:rightChars="-63" w:hanging="1"/>
              <w:jc w:val="center"/>
              <w:rPr>
                <w:rFonts w:ascii="黑体" w:hAnsi="黑体" w:eastAsia="黑体" w:cs="黑体"/>
                <w:sz w:val="28"/>
                <w:szCs w:val="28"/>
              </w:rPr>
            </w:pPr>
            <w:r>
              <w:rPr>
                <w:rFonts w:hint="eastAsia" w:ascii="黑体" w:hAnsi="黑体" w:eastAsia="黑体" w:cs="黑体"/>
                <w:kern w:val="0"/>
                <w:sz w:val="28"/>
                <w:szCs w:val="28"/>
              </w:rPr>
              <w:t>结果纠正</w:t>
            </w:r>
          </w:p>
        </w:tc>
        <w:tc>
          <w:tcPr>
            <w:tcW w:w="759"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82" w:leftChars="-39" w:right="-97" w:rightChars="-46"/>
              <w:jc w:val="center"/>
              <w:rPr>
                <w:rFonts w:ascii="黑体" w:hAnsi="黑体" w:eastAsia="黑体" w:cs="黑体"/>
                <w:sz w:val="28"/>
                <w:szCs w:val="28"/>
              </w:rPr>
            </w:pPr>
            <w:r>
              <w:rPr>
                <w:rFonts w:hint="eastAsia" w:ascii="黑体" w:hAnsi="黑体" w:eastAsia="黑体" w:cs="黑体"/>
                <w:kern w:val="0"/>
                <w:sz w:val="28"/>
                <w:szCs w:val="28"/>
              </w:rPr>
              <w:t>其他结果</w:t>
            </w:r>
          </w:p>
        </w:tc>
        <w:tc>
          <w:tcPr>
            <w:tcW w:w="491"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18" w:leftChars="-56" w:right="-118" w:rightChars="-56"/>
              <w:jc w:val="center"/>
              <w:rPr>
                <w:rFonts w:ascii="黑体" w:hAnsi="黑体" w:eastAsia="黑体" w:cs="黑体"/>
                <w:kern w:val="0"/>
                <w:sz w:val="28"/>
                <w:szCs w:val="28"/>
              </w:rPr>
            </w:pPr>
            <w:r>
              <w:rPr>
                <w:rFonts w:hint="eastAsia" w:ascii="黑体" w:hAnsi="黑体" w:eastAsia="黑体" w:cs="黑体"/>
                <w:kern w:val="0"/>
                <w:sz w:val="28"/>
                <w:szCs w:val="28"/>
              </w:rPr>
              <w:t>尚未</w:t>
            </w:r>
          </w:p>
          <w:p>
            <w:pPr>
              <w:widowControl/>
              <w:spacing w:line="400" w:lineRule="exact"/>
              <w:ind w:left="-118" w:leftChars="-56" w:right="-118" w:rightChars="-56"/>
              <w:jc w:val="center"/>
              <w:rPr>
                <w:rFonts w:ascii="黑体" w:hAnsi="黑体" w:eastAsia="黑体" w:cs="黑体"/>
                <w:sz w:val="28"/>
                <w:szCs w:val="28"/>
              </w:rPr>
            </w:pPr>
            <w:r>
              <w:rPr>
                <w:rFonts w:hint="eastAsia" w:ascii="黑体" w:hAnsi="黑体" w:eastAsia="黑体" w:cs="黑体"/>
                <w:kern w:val="0"/>
                <w:sz w:val="28"/>
                <w:szCs w:val="28"/>
              </w:rPr>
              <w:t>审结</w:t>
            </w:r>
          </w:p>
        </w:tc>
        <w:tc>
          <w:tcPr>
            <w:tcW w:w="533"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kern w:val="0"/>
                <w:sz w:val="28"/>
                <w:szCs w:val="28"/>
              </w:rPr>
            </w:pPr>
            <w:r>
              <w:rPr>
                <w:rFonts w:hint="eastAsia" w:ascii="黑体" w:hAnsi="黑体" w:eastAsia="黑体" w:cs="黑体"/>
                <w:kern w:val="0"/>
                <w:sz w:val="28"/>
                <w:szCs w:val="28"/>
              </w:rPr>
              <w:t>总</w:t>
            </w:r>
          </w:p>
          <w:p>
            <w:pPr>
              <w:widowControl/>
              <w:spacing w:line="400" w:lineRule="exact"/>
              <w:jc w:val="center"/>
              <w:rPr>
                <w:rFonts w:ascii="黑体" w:hAnsi="黑体" w:eastAsia="黑体" w:cs="黑体"/>
                <w:sz w:val="28"/>
                <w:szCs w:val="28"/>
              </w:rPr>
            </w:pPr>
            <w:r>
              <w:rPr>
                <w:rFonts w:hint="eastAsia" w:ascii="黑体" w:hAnsi="黑体" w:eastAsia="黑体" w:cs="黑体"/>
                <w:kern w:val="0"/>
                <w:sz w:val="28"/>
                <w:szCs w:val="28"/>
              </w:rPr>
              <w:t>计</w:t>
            </w:r>
          </w:p>
        </w:tc>
        <w:tc>
          <w:tcPr>
            <w:tcW w:w="3208"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sz w:val="28"/>
                <w:szCs w:val="28"/>
              </w:rPr>
            </w:pPr>
            <w:r>
              <w:rPr>
                <w:rFonts w:hint="eastAsia" w:ascii="黑体" w:hAnsi="黑体" w:eastAsia="黑体" w:cs="黑体"/>
                <w:kern w:val="0"/>
                <w:sz w:val="28"/>
                <w:szCs w:val="28"/>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sz w:val="28"/>
                <w:szCs w:val="28"/>
              </w:rPr>
            </w:pPr>
            <w:r>
              <w:rPr>
                <w:rFonts w:hint="eastAsia" w:ascii="黑体" w:hAnsi="黑体" w:eastAsia="黑体" w:cs="黑体"/>
                <w:kern w:val="0"/>
                <w:sz w:val="28"/>
                <w:szCs w:val="28"/>
              </w:rPr>
              <w:t>复议后起诉</w:t>
            </w:r>
          </w:p>
        </w:tc>
      </w:tr>
      <w:tr>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黑体" w:hAnsi="黑体" w:eastAsia="黑体" w:cs="黑体"/>
                <w:sz w:val="28"/>
                <w:szCs w:val="28"/>
              </w:rPr>
            </w:pPr>
          </w:p>
        </w:tc>
        <w:tc>
          <w:tcPr>
            <w:tcW w:w="44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黑体" w:hAnsi="黑体" w:eastAsia="黑体" w:cs="黑体"/>
                <w:sz w:val="28"/>
                <w:szCs w:val="28"/>
              </w:rPr>
            </w:pPr>
          </w:p>
        </w:tc>
        <w:tc>
          <w:tcPr>
            <w:tcW w:w="759"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黑体" w:hAnsi="黑体" w:eastAsia="黑体" w:cs="黑体"/>
                <w:sz w:val="28"/>
                <w:szCs w:val="28"/>
              </w:rPr>
            </w:pPr>
          </w:p>
        </w:tc>
        <w:tc>
          <w:tcPr>
            <w:tcW w:w="491"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黑体" w:hAnsi="黑体" w:eastAsia="黑体" w:cs="黑体"/>
                <w:sz w:val="28"/>
                <w:szCs w:val="28"/>
              </w:rPr>
            </w:pPr>
          </w:p>
        </w:tc>
        <w:tc>
          <w:tcPr>
            <w:tcW w:w="533"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rPr>
                <w:rFonts w:ascii="黑体" w:hAnsi="黑体" w:eastAsia="黑体" w:cs="黑体"/>
                <w:sz w:val="28"/>
                <w:szCs w:val="28"/>
              </w:rPr>
            </w:pPr>
          </w:p>
        </w:tc>
        <w:tc>
          <w:tcPr>
            <w:tcW w:w="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05" w:leftChars="-50" w:right="-126" w:rightChars="-60"/>
              <w:jc w:val="center"/>
              <w:rPr>
                <w:rFonts w:ascii="黑体" w:hAnsi="黑体" w:eastAsia="黑体" w:cs="黑体"/>
                <w:sz w:val="28"/>
                <w:szCs w:val="28"/>
              </w:rPr>
            </w:pPr>
            <w:r>
              <w:rPr>
                <w:rFonts w:hint="eastAsia" w:ascii="黑体" w:hAnsi="黑体" w:eastAsia="黑体" w:cs="黑体"/>
                <w:kern w:val="0"/>
                <w:sz w:val="28"/>
                <w:szCs w:val="28"/>
              </w:rPr>
              <w:t>结果维持</w:t>
            </w:r>
          </w:p>
        </w:tc>
        <w:tc>
          <w:tcPr>
            <w:tcW w:w="53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86" w:leftChars="-41" w:right="-88" w:rightChars="-42"/>
              <w:jc w:val="center"/>
              <w:rPr>
                <w:rFonts w:ascii="黑体" w:hAnsi="黑体" w:eastAsia="黑体" w:cs="黑体"/>
                <w:sz w:val="28"/>
                <w:szCs w:val="28"/>
              </w:rPr>
            </w:pPr>
            <w:r>
              <w:rPr>
                <w:rFonts w:hint="eastAsia" w:ascii="黑体" w:hAnsi="黑体" w:eastAsia="黑体" w:cs="黑体"/>
                <w:kern w:val="0"/>
                <w:sz w:val="28"/>
                <w:szCs w:val="28"/>
              </w:rPr>
              <w:t>结果纠正</w:t>
            </w:r>
          </w:p>
        </w:tc>
        <w:tc>
          <w:tcPr>
            <w:tcW w:w="78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26" w:leftChars="-60" w:right="-136" w:rightChars="-65"/>
              <w:jc w:val="center"/>
              <w:rPr>
                <w:rFonts w:ascii="黑体" w:hAnsi="黑体" w:eastAsia="黑体" w:cs="黑体"/>
                <w:kern w:val="0"/>
                <w:sz w:val="28"/>
                <w:szCs w:val="28"/>
              </w:rPr>
            </w:pPr>
            <w:r>
              <w:rPr>
                <w:rFonts w:hint="eastAsia" w:ascii="黑体" w:hAnsi="黑体" w:eastAsia="黑体" w:cs="黑体"/>
                <w:kern w:val="0"/>
                <w:sz w:val="28"/>
                <w:szCs w:val="28"/>
              </w:rPr>
              <w:t>其他</w:t>
            </w:r>
          </w:p>
          <w:p>
            <w:pPr>
              <w:widowControl/>
              <w:spacing w:line="400" w:lineRule="exact"/>
              <w:ind w:left="-126" w:leftChars="-60" w:right="-136" w:rightChars="-65"/>
              <w:jc w:val="center"/>
              <w:rPr>
                <w:rFonts w:ascii="黑体" w:hAnsi="黑体" w:eastAsia="黑体" w:cs="黑体"/>
                <w:sz w:val="28"/>
                <w:szCs w:val="28"/>
              </w:rPr>
            </w:pPr>
            <w:r>
              <w:rPr>
                <w:rFonts w:hint="eastAsia" w:ascii="黑体" w:hAnsi="黑体" w:eastAsia="黑体" w:cs="黑体"/>
                <w:kern w:val="0"/>
                <w:sz w:val="28"/>
                <w:szCs w:val="28"/>
              </w:rPr>
              <w:t>结果</w:t>
            </w:r>
          </w:p>
        </w:tc>
        <w:tc>
          <w:tcPr>
            <w:tcW w:w="70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64" w:leftChars="-78" w:right="-153" w:rightChars="-73"/>
              <w:jc w:val="center"/>
              <w:rPr>
                <w:rFonts w:ascii="黑体" w:hAnsi="黑体" w:eastAsia="黑体" w:cs="黑体"/>
                <w:kern w:val="0"/>
                <w:sz w:val="28"/>
                <w:szCs w:val="28"/>
              </w:rPr>
            </w:pPr>
            <w:r>
              <w:rPr>
                <w:rFonts w:hint="eastAsia" w:ascii="黑体" w:hAnsi="黑体" w:eastAsia="黑体" w:cs="黑体"/>
                <w:kern w:val="0"/>
                <w:sz w:val="28"/>
                <w:szCs w:val="28"/>
              </w:rPr>
              <w:t>尚未</w:t>
            </w:r>
          </w:p>
          <w:p>
            <w:pPr>
              <w:widowControl/>
              <w:spacing w:line="400" w:lineRule="exact"/>
              <w:ind w:left="-164" w:leftChars="-78" w:right="-153" w:rightChars="-73"/>
              <w:jc w:val="center"/>
              <w:rPr>
                <w:rFonts w:ascii="黑体" w:hAnsi="黑体" w:eastAsia="黑体" w:cs="黑体"/>
                <w:sz w:val="28"/>
                <w:szCs w:val="28"/>
              </w:rPr>
            </w:pPr>
            <w:r>
              <w:rPr>
                <w:rFonts w:hint="eastAsia" w:ascii="黑体" w:hAnsi="黑体" w:eastAsia="黑体" w:cs="黑体"/>
                <w:kern w:val="0"/>
                <w:sz w:val="28"/>
                <w:szCs w:val="28"/>
              </w:rPr>
              <w:t>审结</w:t>
            </w:r>
          </w:p>
        </w:tc>
        <w:tc>
          <w:tcPr>
            <w:tcW w:w="50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sz w:val="28"/>
                <w:szCs w:val="28"/>
              </w:rPr>
            </w:pPr>
            <w:r>
              <w:rPr>
                <w:rFonts w:hint="eastAsia" w:ascii="黑体" w:hAnsi="黑体" w:eastAsia="黑体" w:cs="黑体"/>
                <w:color w:val="000000"/>
                <w:kern w:val="0"/>
                <w:sz w:val="28"/>
                <w:szCs w:val="28"/>
              </w:rPr>
              <w:t>总计</w:t>
            </w:r>
          </w:p>
        </w:tc>
        <w:tc>
          <w:tcPr>
            <w:tcW w:w="47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99" w:leftChars="-47" w:right="-78" w:rightChars="-37"/>
              <w:jc w:val="center"/>
              <w:rPr>
                <w:rFonts w:ascii="黑体" w:hAnsi="黑体" w:eastAsia="黑体" w:cs="黑体"/>
                <w:sz w:val="28"/>
                <w:szCs w:val="28"/>
              </w:rPr>
            </w:pPr>
            <w:r>
              <w:rPr>
                <w:rFonts w:hint="eastAsia" w:ascii="黑体" w:hAnsi="黑体" w:eastAsia="黑体" w:cs="黑体"/>
                <w:kern w:val="0"/>
                <w:sz w:val="28"/>
                <w:szCs w:val="28"/>
              </w:rPr>
              <w:t>结果维持</w:t>
            </w:r>
          </w:p>
        </w:tc>
        <w:tc>
          <w:tcPr>
            <w:tcW w:w="68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36" w:leftChars="-65" w:right="-124" w:rightChars="-59"/>
              <w:jc w:val="center"/>
              <w:rPr>
                <w:rFonts w:ascii="黑体" w:hAnsi="黑体" w:eastAsia="黑体" w:cs="黑体"/>
                <w:kern w:val="0"/>
                <w:sz w:val="28"/>
                <w:szCs w:val="28"/>
              </w:rPr>
            </w:pPr>
            <w:r>
              <w:rPr>
                <w:rFonts w:hint="eastAsia" w:ascii="黑体" w:hAnsi="黑体" w:eastAsia="黑体" w:cs="黑体"/>
                <w:kern w:val="0"/>
                <w:sz w:val="28"/>
                <w:szCs w:val="28"/>
              </w:rPr>
              <w:t>结果</w:t>
            </w:r>
          </w:p>
          <w:p>
            <w:pPr>
              <w:widowControl/>
              <w:spacing w:line="400" w:lineRule="exact"/>
              <w:ind w:left="-136" w:leftChars="-65" w:right="-124" w:rightChars="-59"/>
              <w:jc w:val="center"/>
              <w:rPr>
                <w:rFonts w:ascii="黑体" w:hAnsi="黑体" w:eastAsia="黑体" w:cs="黑体"/>
                <w:sz w:val="28"/>
                <w:szCs w:val="28"/>
              </w:rPr>
            </w:pPr>
            <w:r>
              <w:rPr>
                <w:rFonts w:hint="eastAsia" w:ascii="黑体" w:hAnsi="黑体" w:eastAsia="黑体" w:cs="黑体"/>
                <w:kern w:val="0"/>
                <w:sz w:val="28"/>
                <w:szCs w:val="28"/>
              </w:rPr>
              <w:t>纠正</w:t>
            </w:r>
          </w:p>
        </w:tc>
        <w:tc>
          <w:tcPr>
            <w:tcW w:w="75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173" w:leftChars="-83" w:right="-134" w:rightChars="-64" w:hanging="1"/>
              <w:jc w:val="center"/>
              <w:rPr>
                <w:rFonts w:ascii="黑体" w:hAnsi="黑体" w:eastAsia="黑体" w:cs="黑体"/>
                <w:color w:val="000000"/>
                <w:kern w:val="0"/>
                <w:sz w:val="28"/>
                <w:szCs w:val="28"/>
              </w:rPr>
            </w:pPr>
            <w:r>
              <w:rPr>
                <w:rFonts w:hint="eastAsia" w:ascii="黑体" w:hAnsi="黑体" w:eastAsia="黑体" w:cs="黑体"/>
                <w:color w:val="000000"/>
                <w:kern w:val="0"/>
                <w:sz w:val="28"/>
                <w:szCs w:val="28"/>
              </w:rPr>
              <w:t>其他</w:t>
            </w:r>
          </w:p>
          <w:p>
            <w:pPr>
              <w:widowControl/>
              <w:spacing w:line="400" w:lineRule="exact"/>
              <w:ind w:left="-173" w:leftChars="-83" w:right="-134" w:rightChars="-64" w:hanging="1"/>
              <w:jc w:val="center"/>
              <w:rPr>
                <w:rFonts w:ascii="黑体" w:hAnsi="黑体" w:eastAsia="黑体" w:cs="黑体"/>
                <w:sz w:val="28"/>
                <w:szCs w:val="28"/>
              </w:rPr>
            </w:pPr>
            <w:r>
              <w:rPr>
                <w:rFonts w:hint="eastAsia" w:ascii="黑体" w:hAnsi="黑体" w:eastAsia="黑体" w:cs="黑体"/>
                <w:color w:val="000000"/>
                <w:kern w:val="0"/>
                <w:sz w:val="28"/>
                <w:szCs w:val="28"/>
              </w:rPr>
              <w:t>结果</w:t>
            </w:r>
          </w:p>
        </w:tc>
        <w:tc>
          <w:tcPr>
            <w:tcW w:w="51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ind w:left="-66" w:leftChars="-33" w:right="-105" w:rightChars="-50" w:hanging="3" w:hangingChars="1"/>
              <w:jc w:val="center"/>
              <w:rPr>
                <w:rFonts w:ascii="黑体" w:hAnsi="黑体" w:eastAsia="黑体" w:cs="黑体"/>
                <w:sz w:val="28"/>
                <w:szCs w:val="28"/>
              </w:rPr>
            </w:pPr>
            <w:r>
              <w:rPr>
                <w:rFonts w:hint="eastAsia" w:ascii="黑体" w:hAnsi="黑体" w:eastAsia="黑体" w:cs="黑体"/>
                <w:kern w:val="0"/>
                <w:sz w:val="28"/>
                <w:szCs w:val="28"/>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400" w:lineRule="exact"/>
              <w:jc w:val="center"/>
              <w:rPr>
                <w:rFonts w:ascii="黑体" w:hAnsi="黑体" w:eastAsia="黑体" w:cs="黑体"/>
                <w:sz w:val="28"/>
                <w:szCs w:val="28"/>
              </w:rPr>
            </w:pPr>
            <w:r>
              <w:rPr>
                <w:rFonts w:hint="eastAsia" w:ascii="黑体" w:hAnsi="黑体" w:eastAsia="黑体" w:cs="黑体"/>
                <w:color w:val="000000"/>
                <w:kern w:val="0"/>
                <w:sz w:val="28"/>
                <w:szCs w:val="28"/>
              </w:rPr>
              <w:t>总计</w:t>
            </w:r>
          </w:p>
        </w:tc>
      </w:tr>
      <w:tr>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1</w:t>
            </w:r>
          </w:p>
        </w:tc>
        <w:tc>
          <w:tcPr>
            <w:tcW w:w="44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w:t>
            </w:r>
          </w:p>
        </w:tc>
        <w:tc>
          <w:tcPr>
            <w:tcW w:w="75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w:t>
            </w:r>
          </w:p>
        </w:tc>
        <w:tc>
          <w:tcPr>
            <w:tcW w:w="49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w:t>
            </w:r>
          </w:p>
        </w:tc>
        <w:tc>
          <w:tcPr>
            <w:tcW w:w="53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1</w:t>
            </w:r>
          </w:p>
        </w:tc>
        <w:tc>
          <w:tcPr>
            <w:tcW w:w="68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w:t>
            </w:r>
          </w:p>
        </w:tc>
        <w:tc>
          <w:tcPr>
            <w:tcW w:w="53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w:t>
            </w:r>
          </w:p>
        </w:tc>
        <w:tc>
          <w:tcPr>
            <w:tcW w:w="78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w:t>
            </w:r>
          </w:p>
        </w:tc>
        <w:tc>
          <w:tcPr>
            <w:tcW w:w="50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rPr>
              <w:t> </w:t>
            </w:r>
          </w:p>
        </w:tc>
        <w:tc>
          <w:tcPr>
            <w:tcW w:w="47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1</w:t>
            </w:r>
          </w:p>
        </w:tc>
        <w:tc>
          <w:tcPr>
            <w:tcW w:w="68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w:t>
            </w:r>
          </w:p>
        </w:tc>
        <w:tc>
          <w:tcPr>
            <w:tcW w:w="7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rPr>
              <w:t> </w:t>
            </w:r>
          </w:p>
        </w:tc>
        <w:tc>
          <w:tcPr>
            <w:tcW w:w="51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400" w:lineRule="exact"/>
              <w:jc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 </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r>
    </w:tbl>
    <w:p>
      <w:pPr>
        <w:widowControl/>
        <w:spacing w:line="600" w:lineRule="exact"/>
        <w:jc w:val="center"/>
        <w:rPr>
          <w:rFonts w:ascii="仿宋_GB2312" w:hAnsi="仿宋_GB2312" w:eastAsia="仿宋_GB2312" w:cs="仿宋_GB2312"/>
          <w:color w:val="333333"/>
          <w:sz w:val="32"/>
          <w:szCs w:val="32"/>
        </w:rPr>
      </w:pPr>
    </w:p>
    <w:p>
      <w:pPr>
        <w:pStyle w:val="4"/>
        <w:widowControl/>
        <w:spacing w:beforeAutospacing="0" w:afterAutospacing="0" w:line="600" w:lineRule="exact"/>
        <w:ind w:firstLine="640"/>
        <w:jc w:val="both"/>
        <w:rPr>
          <w:rFonts w:ascii="黑体" w:hAnsi="黑体" w:eastAsia="黑体" w:cs="黑体"/>
          <w:color w:val="000000"/>
          <w:sz w:val="32"/>
          <w:szCs w:val="32"/>
        </w:rPr>
      </w:pPr>
      <w:r>
        <w:rPr>
          <w:rFonts w:hint="eastAsia" w:ascii="黑体" w:hAnsi="黑体" w:eastAsia="黑体" w:cs="黑体"/>
          <w:color w:val="000000"/>
          <w:sz w:val="32"/>
          <w:szCs w:val="32"/>
        </w:rPr>
        <w:t>五、存在的主要问题及改进情况</w:t>
      </w:r>
    </w:p>
    <w:p>
      <w:pPr>
        <w:pStyle w:val="4"/>
        <w:spacing w:beforeAutospacing="0" w:afterAutospacing="0"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针对2018年政务公开工作中存在的问题，从组织保障和制度建设方面进行了强化和提升。</w:t>
      </w:r>
      <w:r>
        <w:rPr>
          <w:rFonts w:hint="eastAsia" w:ascii="仿宋_GB2312" w:hAnsi="仿宋_GB2312" w:eastAsia="仿宋_GB2312" w:cs="仿宋_GB2312"/>
          <w:color w:val="000000"/>
          <w:sz w:val="32"/>
          <w:szCs w:val="32"/>
        </w:rPr>
        <w:t>2019年，我厅政务公开工作虽然取得了一定成绩，但与公众日益增长的交通信息需求还存在差距，主要是</w:t>
      </w:r>
      <w:r>
        <w:rPr>
          <w:rFonts w:hint="eastAsia" w:ascii="仿宋_GB2312" w:hAnsi="仿宋_GB2312" w:eastAsia="仿宋_GB2312" w:cs="仿宋_GB2312"/>
          <w:color w:val="000000"/>
          <w:sz w:val="32"/>
          <w:szCs w:val="32"/>
          <w:lang w:eastAsia="zh-CN"/>
        </w:rPr>
        <w:t>主动公开过程中的</w:t>
      </w:r>
      <w:r>
        <w:rPr>
          <w:rFonts w:hint="eastAsia" w:ascii="仿宋_GB2312" w:hAnsi="仿宋_GB2312" w:eastAsia="仿宋_GB2312" w:cs="仿宋_GB2312"/>
          <w:color w:val="000000"/>
          <w:sz w:val="32"/>
          <w:szCs w:val="32"/>
        </w:rPr>
        <w:t>政策解读、重点工作的系统性宣传有待进一步加强，</w:t>
      </w:r>
      <w:r>
        <w:rPr>
          <w:rFonts w:hint="eastAsia" w:ascii="仿宋_GB2312" w:hAnsi="仿宋_GB2312" w:eastAsia="仿宋_GB2312" w:cs="仿宋_GB2312"/>
          <w:color w:val="000000"/>
          <w:sz w:val="32"/>
          <w:szCs w:val="32"/>
          <w:lang w:eastAsia="zh-CN"/>
        </w:rPr>
        <w:t>解读形式相对单一，</w:t>
      </w:r>
      <w:r>
        <w:rPr>
          <w:rFonts w:hint="eastAsia" w:ascii="仿宋_GB2312" w:hAnsi="仿宋_GB2312" w:eastAsia="仿宋_GB2312" w:cs="仿宋_GB2312"/>
          <w:color w:val="000000"/>
          <w:sz w:val="32"/>
          <w:szCs w:val="32"/>
        </w:rPr>
        <w:t>公开的内容和流程需要进一步规范。</w:t>
      </w:r>
      <w:r>
        <w:rPr>
          <w:rFonts w:hint="eastAsia" w:ascii="仿宋_GB2312" w:hAnsi="仿宋_GB2312" w:eastAsia="仿宋_GB2312" w:cs="仿宋_GB2312"/>
          <w:color w:val="000000"/>
          <w:sz w:val="32"/>
          <w:szCs w:val="32"/>
        </w:rPr>
        <w:t>我们将结合机构改革调整后的各部门职责分工，制定完善和动态调整政务公开工作规范和政府信息公开目录，进一步加大政府信息公开力度，深化政府信息服务工作，努力提升政府信息公开水平。</w:t>
      </w:r>
    </w:p>
    <w:p>
      <w:pPr>
        <w:pStyle w:val="4"/>
        <w:spacing w:beforeAutospacing="0" w:afterAutospacing="0"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一是健全完善“五公开”工作机制。</w:t>
      </w:r>
      <w:r>
        <w:rPr>
          <w:rFonts w:hint="eastAsia" w:ascii="仿宋_GB2312" w:hAnsi="仿宋_GB2312" w:eastAsia="仿宋_GB2312" w:cs="仿宋_GB2312"/>
          <w:color w:val="000000"/>
          <w:sz w:val="32"/>
          <w:szCs w:val="32"/>
        </w:rPr>
        <w:t>编制完善“决策、执行、管理、服务、结果”公开工作各主要环节流程图，加快构建畅通、快速、高效的工作体系，全面提升政务公开工作质量和效率。</w:t>
      </w:r>
    </w:p>
    <w:p>
      <w:pPr>
        <w:pStyle w:val="4"/>
        <w:spacing w:beforeAutospacing="0" w:afterAutospacing="0"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二是</w:t>
      </w:r>
      <w:r>
        <w:rPr>
          <w:rFonts w:hint="eastAsia" w:ascii="仿宋_GB2312" w:hAnsi="仿宋_GB2312" w:eastAsia="仿宋_GB2312" w:cs="仿宋_GB2312"/>
          <w:b/>
          <w:bCs/>
          <w:color w:val="000000"/>
          <w:sz w:val="32"/>
          <w:szCs w:val="32"/>
          <w:lang w:eastAsia="zh-CN"/>
        </w:rPr>
        <w:t>丰富形式内容扎实</w:t>
      </w:r>
      <w:r>
        <w:rPr>
          <w:rFonts w:hint="eastAsia" w:ascii="仿宋_GB2312" w:hAnsi="仿宋_GB2312" w:eastAsia="仿宋_GB2312" w:cs="仿宋_GB2312"/>
          <w:b/>
          <w:bCs/>
          <w:color w:val="000000"/>
          <w:sz w:val="32"/>
          <w:szCs w:val="32"/>
        </w:rPr>
        <w:t>做好政务公开日常工作。</w:t>
      </w:r>
      <w:r>
        <w:rPr>
          <w:rFonts w:hint="eastAsia" w:ascii="仿宋_GB2312" w:hAnsi="仿宋_GB2312" w:eastAsia="仿宋_GB2312" w:cs="仿宋_GB2312"/>
          <w:color w:val="000000"/>
          <w:sz w:val="32"/>
          <w:szCs w:val="32"/>
        </w:rPr>
        <w:t>进一步做好新闻发布和政策解读工作，加强正面宣传，充分利用新闻发布会、网站和新媒体平台，主动发布重要活动和重大决策部署信息，及时进行重要政策法规解读，妥善回应公众关切。</w:t>
      </w:r>
      <w:r>
        <w:rPr>
          <w:rFonts w:hint="eastAsia" w:ascii="仿宋_GB2312" w:hAnsi="仿宋_GB2312" w:eastAsia="仿宋_GB2312" w:cs="仿宋_GB2312"/>
          <w:color w:val="000000"/>
          <w:sz w:val="32"/>
          <w:szCs w:val="32"/>
          <w:lang w:eastAsia="zh-CN"/>
        </w:rPr>
        <w:t>以图片、动画、视频等图文并茂，群众喜闻乐见</w:t>
      </w:r>
      <w:bookmarkStart w:id="0" w:name="_GoBack"/>
      <w:bookmarkEnd w:id="0"/>
      <w:r>
        <w:rPr>
          <w:rFonts w:hint="eastAsia" w:ascii="仿宋_GB2312" w:hAnsi="仿宋_GB2312" w:eastAsia="仿宋_GB2312" w:cs="仿宋_GB2312"/>
          <w:color w:val="000000"/>
          <w:sz w:val="32"/>
          <w:szCs w:val="32"/>
          <w:lang w:eastAsia="zh-CN"/>
        </w:rPr>
        <w:t>的形式，做好政策解读工作。</w:t>
      </w:r>
      <w:r>
        <w:rPr>
          <w:rFonts w:hint="eastAsia" w:ascii="仿宋_GB2312" w:hAnsi="仿宋_GB2312" w:eastAsia="仿宋_GB2312" w:cs="仿宋_GB2312"/>
          <w:color w:val="000000"/>
          <w:sz w:val="32"/>
          <w:szCs w:val="32"/>
        </w:rPr>
        <w:t>进一步规范依申请公开工作，严格落实依申请公开制度，强化服务意识，加强业务指导，规范工作程序，提高依法依规依程序办理工作水平。</w:t>
      </w:r>
    </w:p>
    <w:p>
      <w:pPr>
        <w:pStyle w:val="4"/>
        <w:spacing w:beforeAutospacing="0" w:afterAutospacing="0"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三是继续加大重点领域信息公开工作。</w:t>
      </w:r>
      <w:r>
        <w:rPr>
          <w:rFonts w:hint="eastAsia" w:ascii="仿宋_GB2312" w:hAnsi="仿宋_GB2312" w:eastAsia="仿宋_GB2312" w:cs="仿宋_GB2312"/>
          <w:color w:val="000000"/>
          <w:sz w:val="32"/>
          <w:szCs w:val="32"/>
        </w:rPr>
        <w:t>坚持以公开为常</w:t>
      </w:r>
      <w:r>
        <w:rPr>
          <w:rFonts w:hint="eastAsia" w:ascii="仿宋_GB2312" w:hAnsi="仿宋_GB2312" w:eastAsia="仿宋_GB2312" w:cs="仿宋_GB2312"/>
          <w:color w:val="000000"/>
          <w:sz w:val="32"/>
          <w:szCs w:val="32"/>
        </w:rPr>
        <w:t>态、不公开为例外，紧紧围绕经济社会发展和人民群众关注关切，着力推进财政预决算、重大建设项目、信用信息等重点领域信息公开。</w:t>
      </w:r>
    </w:p>
    <w:p>
      <w:pPr>
        <w:pStyle w:val="4"/>
        <w:widowControl/>
        <w:spacing w:beforeAutospacing="0" w:afterAutospacing="0" w:line="600" w:lineRule="exact"/>
        <w:ind w:firstLine="640"/>
        <w:jc w:val="both"/>
        <w:rPr>
          <w:rFonts w:ascii="黑体" w:hAnsi="黑体" w:eastAsia="黑体" w:cs="黑体"/>
          <w:color w:val="000000"/>
          <w:sz w:val="32"/>
          <w:szCs w:val="32"/>
        </w:rPr>
      </w:pPr>
      <w:r>
        <w:rPr>
          <w:rFonts w:hint="eastAsia" w:ascii="黑体" w:hAnsi="黑体" w:eastAsia="黑体" w:cs="黑体"/>
          <w:color w:val="000000"/>
          <w:sz w:val="32"/>
          <w:szCs w:val="32"/>
        </w:rPr>
        <w:t>六、其他需要报告的事项</w:t>
      </w:r>
    </w:p>
    <w:p>
      <w:pPr>
        <w:pStyle w:val="4"/>
        <w:spacing w:beforeAutospacing="0" w:afterAutospacing="0"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无。</w:t>
      </w:r>
    </w:p>
    <w:p>
      <w:pPr>
        <w:pStyle w:val="4"/>
        <w:spacing w:beforeAutospacing="0" w:afterAutospacing="0" w:line="600" w:lineRule="exact"/>
        <w:ind w:firstLine="640" w:firstLineChars="200"/>
        <w:rPr>
          <w:rFonts w:ascii="仿宋_GB2312" w:hAnsi="仿宋_GB2312" w:eastAsia="仿宋_GB2312" w:cs="仿宋_GB2312"/>
          <w:color w:val="000000"/>
          <w:sz w:val="32"/>
          <w:szCs w:val="32"/>
        </w:rPr>
      </w:pPr>
    </w:p>
    <w:p>
      <w:pPr>
        <w:spacing w:line="600" w:lineRule="exact"/>
        <w:rPr>
          <w:rFonts w:ascii="仿宋_GB2312" w:hAnsi="仿宋_GB2312" w:eastAsia="仿宋_GB2312" w:cs="仿宋_GB2312"/>
          <w:sz w:val="32"/>
          <w:szCs w:val="32"/>
        </w:rPr>
      </w:pPr>
    </w:p>
    <w:sectPr>
      <w:footerReference r:id="rId3" w:type="default"/>
      <w:pgSz w:w="11906" w:h="16838"/>
      <w:pgMar w:top="1440" w:right="1800" w:bottom="1702"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
    <w:altName w:val="Times New Roman"/>
    <w:panose1 w:val="00000000000000000000"/>
    <w:charset w:val="00"/>
    <w:family w:val="auto"/>
    <w:pitch w:val="default"/>
    <w:sig w:usb0="00000000" w:usb1="00000000" w:usb2="00000000" w:usb3="00000000" w:csb0="00000001" w:csb1="00000000"/>
  </w:font>
  <w:font w:name="仿宋_GB2312">
    <w:altName w:val="微软雅黑"/>
    <w:panose1 w:val="00000000000000000000"/>
    <w:charset w:val="86"/>
    <w:family w:val="modern"/>
    <w:pitch w:val="default"/>
    <w:sig w:usb0="00000000" w:usb1="00000000" w:usb2="00000000" w:usb3="00000000" w:csb0="00040000" w:csb1="00000000"/>
  </w:font>
  <w:font w:name="方正小标宋简体">
    <w:altName w:val="微软雅黑"/>
    <w:panose1 w:val="02010601030101010101"/>
    <w:charset w:val="86"/>
    <w:family w:val="auto"/>
    <w:pitch w:val="default"/>
    <w:sig w:usb0="00000000" w:usb1="00000000" w:usb2="00000000" w:usb3="00000000" w:csb0="00040000" w:csb1="00000000"/>
  </w:font>
  <w:font w:name="Calibri Light">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617CD6"/>
    <w:multiLevelType w:val="singleLevel"/>
    <w:tmpl w:val="B5617CD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 w:hAns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index 7"/>
    <w:basedOn w:val="1"/>
    <w:next w:val="1"/>
    <w:qFormat/>
    <w:uiPriority w:val="0"/>
    <w:pPr>
      <w:ind w:left="1200" w:leftChars="1200"/>
    </w:pPr>
  </w:style>
  <w:style w:type="paragraph" w:styleId="4">
    <w:name w:val="Normal (Web)"/>
    <w:basedOn w:val="1"/>
    <w:next w:val="3"/>
    <w:qFormat/>
    <w:uiPriority w:val="0"/>
    <w:pPr>
      <w:spacing w:beforeAutospacing="1" w:afterAutospacing="1"/>
      <w:jc w:val="left"/>
    </w:pPr>
    <w:rPr>
      <w:rFonts w:cs="Times New Roman"/>
      <w:kern w:val="0"/>
      <w:sz w:val="24"/>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494</Words>
  <Characters>2820</Characters>
  <Lines>23</Lines>
  <Paragraphs>6</Paragraphs>
  <ScaleCrop>false</ScaleCrop>
  <LinksUpToDate>false</LinksUpToDate>
  <CharactersWithSpaces>3308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2020-01-22T01:54:00Z</dcterms:created>
  <dc:creator>User</dc:creator>
  <cp:lastModifiedBy>iPhone</cp:lastModifiedBy>
  <cp:lastPrinted>2020-01-23T02:30:00Z</cp:lastPrinted>
  <dcterms:modified xsi:type="dcterms:W3CDTF">2020-06-30T13:51:56Z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2052-10.11.0</vt:lpwstr>
  </property>
</Properties>
</file>