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D493C1">
      <w:pPr>
        <w:spacing w:after="120"/>
        <w:jc w:val="both"/>
      </w:pPr>
      <w:r>
        <w:rPr>
          <w:rFonts w:ascii="Times New Roman" w:hAnsi="Times New Roman" w:eastAsia="思源黑体" w:cs="Times New Roman"/>
          <w:b/>
          <w:sz w:val="32"/>
          <w:szCs w:val="32"/>
        </w:rPr>
        <w:t>附件1</w:t>
      </w:r>
    </w:p>
    <w:p w14:paraId="16D1280A">
      <w:pPr>
        <w:spacing w:after="120"/>
        <w:jc w:val="center"/>
      </w:pPr>
      <w:r>
        <w:rPr>
          <w:rFonts w:ascii="Times New Roman" w:hAnsi="Times New Roman" w:eastAsia="思源黑体" w:cs="Times New Roman"/>
          <w:b/>
          <w:sz w:val="28"/>
          <w:szCs w:val="28"/>
        </w:rPr>
        <w:t>公路养护作业单位资质许可条件</w:t>
      </w:r>
    </w:p>
    <w:p w14:paraId="39B25586">
      <w:pPr>
        <w:spacing w:before="160" w:after="80"/>
      </w:pPr>
      <w:r>
        <w:rPr>
          <w:rFonts w:ascii="Times New Roman" w:hAnsi="Times New Roman" w:eastAsia="思源黑体" w:cs="Times New Roman"/>
          <w:b/>
          <w:color w:val="1F4E79"/>
          <w:sz w:val="24"/>
          <w:szCs w:val="24"/>
        </w:rPr>
        <w:t>一、公路养护作业单位资质许可条件表</w:t>
      </w:r>
    </w:p>
    <w:tbl>
      <w:tblPr>
        <w:tblStyle w:val="32"/>
        <w:tblW w:w="14700" w:type="dxa"/>
        <w:jc w:val="center"/>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Layout w:type="fixed"/>
        <w:tblCellMar>
          <w:top w:w="0" w:type="dxa"/>
          <w:left w:w="108" w:type="dxa"/>
          <w:bottom w:w="0" w:type="dxa"/>
          <w:right w:w="108" w:type="dxa"/>
        </w:tblCellMar>
      </w:tblPr>
      <w:tblGrid>
        <w:gridCol w:w="637"/>
        <w:gridCol w:w="585"/>
        <w:gridCol w:w="845"/>
        <w:gridCol w:w="515"/>
        <w:gridCol w:w="1938"/>
        <w:gridCol w:w="862"/>
        <w:gridCol w:w="810"/>
        <w:gridCol w:w="585"/>
        <w:gridCol w:w="776"/>
        <w:gridCol w:w="567"/>
        <w:gridCol w:w="585"/>
        <w:gridCol w:w="567"/>
        <w:gridCol w:w="724"/>
        <w:gridCol w:w="515"/>
        <w:gridCol w:w="1494"/>
        <w:gridCol w:w="2695"/>
      </w:tblGrid>
      <w:tr w14:paraId="4DBB89BC">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700" w:type="dxa"/>
            <w:shd w:val="clear" w:color="auto" w:fill="1F4E79"/>
            <w:vAlign w:val="center"/>
          </w:tcPr>
          <w:p w14:paraId="68F77F56">
            <w:pPr>
              <w:spacing w:before="0" w:after="0" w:line="252" w:lineRule="auto"/>
              <w:jc w:val="center"/>
            </w:pPr>
            <w:r>
              <w:rPr>
                <w:rFonts w:ascii="Times New Roman" w:hAnsi="Times New Roman" w:eastAsia="思源黑体" w:cs="Times New Roman"/>
                <w:b/>
                <w:bCs/>
                <w:color w:val="FFFFFF"/>
                <w:sz w:val="16"/>
                <w:szCs w:val="16"/>
              </w:rPr>
              <w:t>序列</w:t>
            </w:r>
          </w:p>
        </w:tc>
        <w:tc>
          <w:tcPr>
            <w:tcW w:w="640" w:type="dxa"/>
            <w:shd w:val="clear" w:color="auto" w:fill="1F4E79"/>
            <w:vAlign w:val="center"/>
          </w:tcPr>
          <w:p w14:paraId="3A09A5D7">
            <w:pPr>
              <w:spacing w:before="0" w:after="0" w:line="252" w:lineRule="auto"/>
              <w:jc w:val="center"/>
            </w:pPr>
            <w:r>
              <w:rPr>
                <w:rFonts w:ascii="Times New Roman" w:hAnsi="Times New Roman" w:eastAsia="思源黑体" w:cs="Times New Roman"/>
                <w:b/>
                <w:bCs/>
                <w:color w:val="FFFFFF"/>
                <w:sz w:val="16"/>
                <w:szCs w:val="16"/>
              </w:rPr>
              <w:t>等级</w:t>
            </w:r>
          </w:p>
        </w:tc>
        <w:tc>
          <w:tcPr>
            <w:tcW w:w="940" w:type="dxa"/>
            <w:shd w:val="clear" w:color="auto" w:fill="1F4E79"/>
            <w:vAlign w:val="center"/>
          </w:tcPr>
          <w:p w14:paraId="58B82447">
            <w:pPr>
              <w:spacing w:before="0" w:after="0" w:line="252" w:lineRule="auto"/>
              <w:jc w:val="center"/>
            </w:pPr>
            <w:r>
              <w:rPr>
                <w:rFonts w:ascii="Times New Roman" w:hAnsi="Times New Roman" w:eastAsia="思源黑体" w:cs="Times New Roman"/>
                <w:b/>
                <w:bCs/>
                <w:color w:val="FFFFFF"/>
                <w:sz w:val="16"/>
                <w:szCs w:val="16"/>
              </w:rPr>
              <w:t>技术负责人</w:t>
            </w:r>
            <w:r>
              <w:rPr>
                <w:rFonts w:ascii="Times New Roman" w:hAnsi="Times New Roman" w:eastAsia="思源黑体" w:cs="Times New Roman"/>
                <w:b/>
                <w:bCs/>
                <w:color w:val="FFFFFF"/>
                <w:sz w:val="16"/>
                <w:szCs w:val="16"/>
              </w:rPr>
              <w:br w:type="textWrapping"/>
            </w:r>
            <w:r>
              <w:rPr>
                <w:rFonts w:ascii="Times New Roman" w:hAnsi="Times New Roman" w:eastAsia="思源黑体" w:cs="Times New Roman"/>
                <w:b/>
                <w:bCs/>
                <w:color w:val="FFFFFF"/>
                <w:sz w:val="16"/>
                <w:szCs w:val="16"/>
              </w:rPr>
              <w:t>工作经历</w:t>
            </w:r>
          </w:p>
        </w:tc>
        <w:tc>
          <w:tcPr>
            <w:tcW w:w="560" w:type="dxa"/>
            <w:shd w:val="clear" w:color="auto" w:fill="1F4E79"/>
            <w:vAlign w:val="center"/>
          </w:tcPr>
          <w:p w14:paraId="602E1A42">
            <w:pPr>
              <w:spacing w:before="0" w:after="0" w:line="252" w:lineRule="auto"/>
              <w:jc w:val="center"/>
            </w:pPr>
            <w:r>
              <w:rPr>
                <w:rFonts w:ascii="Times New Roman" w:hAnsi="Times New Roman" w:eastAsia="思源黑体" w:cs="Times New Roman"/>
                <w:b/>
                <w:bCs/>
                <w:color w:val="FFFFFF"/>
                <w:sz w:val="16"/>
                <w:szCs w:val="16"/>
              </w:rPr>
              <w:t>技术负责人</w:t>
            </w:r>
            <w:r>
              <w:rPr>
                <w:rFonts w:ascii="Times New Roman" w:hAnsi="Times New Roman" w:eastAsia="思源黑体" w:cs="Times New Roman"/>
                <w:b/>
                <w:bCs/>
                <w:color w:val="FFFFFF"/>
                <w:sz w:val="16"/>
                <w:szCs w:val="16"/>
              </w:rPr>
              <w:br w:type="textWrapping"/>
            </w:r>
            <w:r>
              <w:rPr>
                <w:rFonts w:ascii="Times New Roman" w:hAnsi="Times New Roman" w:eastAsia="思源黑体" w:cs="Times New Roman"/>
                <w:b/>
                <w:bCs/>
                <w:color w:val="FFFFFF"/>
                <w:sz w:val="16"/>
                <w:szCs w:val="16"/>
              </w:rPr>
              <w:t>职称</w:t>
            </w:r>
          </w:p>
        </w:tc>
        <w:tc>
          <w:tcPr>
            <w:tcW w:w="2200" w:type="dxa"/>
            <w:shd w:val="clear" w:color="auto" w:fill="1F4E79"/>
            <w:vAlign w:val="center"/>
          </w:tcPr>
          <w:p w14:paraId="0090AF58">
            <w:pPr>
              <w:spacing w:before="0" w:after="0" w:line="252" w:lineRule="auto"/>
              <w:jc w:val="center"/>
            </w:pPr>
            <w:r>
              <w:rPr>
                <w:rFonts w:ascii="Times New Roman" w:hAnsi="Times New Roman" w:eastAsia="思源黑体" w:cs="Times New Roman"/>
                <w:b/>
                <w:bCs/>
                <w:color w:val="FFFFFF"/>
                <w:sz w:val="16"/>
                <w:szCs w:val="16"/>
              </w:rPr>
              <w:t>技术负责人近10年累计有效业绩</w:t>
            </w:r>
          </w:p>
        </w:tc>
        <w:tc>
          <w:tcPr>
            <w:tcW w:w="960" w:type="dxa"/>
            <w:shd w:val="clear" w:color="auto" w:fill="1F4E79"/>
            <w:vAlign w:val="center"/>
          </w:tcPr>
          <w:p w14:paraId="69FD32E5">
            <w:pPr>
              <w:spacing w:before="0" w:after="0" w:line="252" w:lineRule="auto"/>
              <w:jc w:val="center"/>
            </w:pPr>
            <w:r>
              <w:rPr>
                <w:rFonts w:ascii="Times New Roman" w:hAnsi="Times New Roman" w:eastAsia="思源黑体" w:cs="Times New Roman"/>
                <w:b/>
                <w:bCs/>
                <w:color w:val="FFFFFF"/>
                <w:sz w:val="16"/>
                <w:szCs w:val="16"/>
              </w:rPr>
              <w:t>二级及以上</w:t>
            </w:r>
            <w:r>
              <w:rPr>
                <w:rFonts w:ascii="Times New Roman" w:hAnsi="Times New Roman" w:eastAsia="思源黑体" w:cs="Times New Roman"/>
                <w:b/>
                <w:bCs/>
                <w:color w:val="FFFFFF"/>
                <w:sz w:val="16"/>
                <w:szCs w:val="16"/>
              </w:rPr>
              <w:br w:type="textWrapping"/>
            </w:r>
            <w:r>
              <w:rPr>
                <w:rFonts w:ascii="Times New Roman" w:hAnsi="Times New Roman" w:eastAsia="思源黑体" w:cs="Times New Roman"/>
                <w:b/>
                <w:bCs/>
                <w:color w:val="FFFFFF"/>
                <w:sz w:val="16"/>
                <w:szCs w:val="16"/>
              </w:rPr>
              <w:t>注册建造师</w:t>
            </w:r>
          </w:p>
        </w:tc>
        <w:tc>
          <w:tcPr>
            <w:tcW w:w="900" w:type="dxa"/>
            <w:shd w:val="clear" w:color="auto" w:fill="1F4E79"/>
            <w:vAlign w:val="center"/>
          </w:tcPr>
          <w:p w14:paraId="7E1E55FC">
            <w:pPr>
              <w:spacing w:before="0" w:after="0" w:line="252" w:lineRule="auto"/>
              <w:jc w:val="center"/>
            </w:pPr>
            <w:r>
              <w:rPr>
                <w:rFonts w:ascii="Times New Roman" w:hAnsi="Times New Roman" w:eastAsia="思源黑体" w:cs="Times New Roman"/>
                <w:b/>
                <w:bCs/>
                <w:color w:val="FFFFFF"/>
                <w:sz w:val="16"/>
                <w:szCs w:val="16"/>
              </w:rPr>
              <w:t>中级及以上</w:t>
            </w:r>
            <w:r>
              <w:rPr>
                <w:rFonts w:ascii="Times New Roman" w:hAnsi="Times New Roman" w:eastAsia="思源黑体" w:cs="Times New Roman"/>
                <w:b/>
                <w:bCs/>
                <w:color w:val="FFFFFF"/>
                <w:sz w:val="16"/>
                <w:szCs w:val="16"/>
              </w:rPr>
              <w:br w:type="textWrapping"/>
            </w:r>
            <w:r>
              <w:rPr>
                <w:rFonts w:ascii="Times New Roman" w:hAnsi="Times New Roman" w:eastAsia="思源黑体" w:cs="Times New Roman"/>
                <w:b/>
                <w:bCs/>
                <w:color w:val="FFFFFF"/>
                <w:sz w:val="16"/>
                <w:szCs w:val="16"/>
              </w:rPr>
              <w:t>职称人员</w:t>
            </w:r>
          </w:p>
        </w:tc>
        <w:tc>
          <w:tcPr>
            <w:tcW w:w="640" w:type="dxa"/>
            <w:shd w:val="clear" w:color="auto" w:fill="1F4E79"/>
            <w:vAlign w:val="center"/>
          </w:tcPr>
          <w:p w14:paraId="192B779B">
            <w:pPr>
              <w:spacing w:before="0" w:after="0" w:line="252" w:lineRule="auto"/>
              <w:jc w:val="center"/>
            </w:pPr>
            <w:r>
              <w:rPr>
                <w:rFonts w:ascii="Times New Roman" w:hAnsi="Times New Roman" w:eastAsia="思源黑体" w:cs="Times New Roman"/>
                <w:b/>
                <w:bCs/>
                <w:color w:val="FFFFFF"/>
                <w:sz w:val="16"/>
                <w:szCs w:val="16"/>
              </w:rPr>
              <w:t>中高级</w:t>
            </w:r>
            <w:r>
              <w:rPr>
                <w:rFonts w:ascii="Times New Roman" w:hAnsi="Times New Roman" w:eastAsia="思源黑体" w:cs="Times New Roman"/>
                <w:b/>
                <w:bCs/>
                <w:color w:val="FFFFFF"/>
                <w:sz w:val="16"/>
                <w:szCs w:val="16"/>
              </w:rPr>
              <w:br w:type="textWrapping"/>
            </w:r>
            <w:r>
              <w:rPr>
                <w:rFonts w:ascii="Times New Roman" w:hAnsi="Times New Roman" w:eastAsia="思源黑体" w:cs="Times New Roman"/>
                <w:b/>
                <w:bCs/>
                <w:color w:val="FFFFFF"/>
                <w:sz w:val="16"/>
                <w:szCs w:val="16"/>
              </w:rPr>
              <w:t>会计师</w:t>
            </w:r>
          </w:p>
        </w:tc>
        <w:tc>
          <w:tcPr>
            <w:tcW w:w="860" w:type="dxa"/>
            <w:shd w:val="clear" w:color="auto" w:fill="1F4E79"/>
            <w:vAlign w:val="center"/>
          </w:tcPr>
          <w:p w14:paraId="20A09A0B">
            <w:pPr>
              <w:spacing w:before="0" w:after="0" w:line="252" w:lineRule="auto"/>
              <w:jc w:val="center"/>
            </w:pPr>
            <w:r>
              <w:rPr>
                <w:rFonts w:ascii="Times New Roman" w:hAnsi="Times New Roman" w:eastAsia="思源黑体" w:cs="Times New Roman"/>
                <w:b/>
                <w:bCs/>
                <w:color w:val="FFFFFF"/>
                <w:sz w:val="16"/>
                <w:szCs w:val="16"/>
              </w:rPr>
              <w:t>中高级经济师/</w:t>
            </w:r>
            <w:r>
              <w:rPr>
                <w:rFonts w:ascii="Times New Roman" w:hAnsi="Times New Roman" w:eastAsia="思源黑体" w:cs="Times New Roman"/>
                <w:b/>
                <w:bCs/>
                <w:color w:val="FFFFFF"/>
                <w:sz w:val="16"/>
                <w:szCs w:val="16"/>
              </w:rPr>
              <w:br w:type="textWrapping"/>
            </w:r>
            <w:r>
              <w:rPr>
                <w:rFonts w:ascii="Times New Roman" w:hAnsi="Times New Roman" w:eastAsia="思源黑体" w:cs="Times New Roman"/>
                <w:b/>
                <w:bCs/>
                <w:color w:val="FFFFFF"/>
                <w:sz w:val="16"/>
                <w:szCs w:val="16"/>
              </w:rPr>
              <w:t>二级以上造价师</w:t>
            </w:r>
          </w:p>
        </w:tc>
        <w:tc>
          <w:tcPr>
            <w:tcW w:w="620" w:type="dxa"/>
            <w:shd w:val="clear" w:color="auto" w:fill="1F4E79"/>
            <w:vAlign w:val="center"/>
          </w:tcPr>
          <w:p w14:paraId="00D79F2A">
            <w:pPr>
              <w:spacing w:before="0" w:after="0" w:line="252" w:lineRule="auto"/>
              <w:jc w:val="center"/>
            </w:pPr>
            <w:r>
              <w:rPr>
                <w:rFonts w:ascii="Times New Roman" w:hAnsi="Times New Roman" w:eastAsia="思源黑体" w:cs="Times New Roman"/>
                <w:b/>
                <w:bCs/>
                <w:color w:val="FFFFFF"/>
                <w:sz w:val="16"/>
                <w:szCs w:val="16"/>
              </w:rPr>
              <w:t>专业技</w:t>
            </w:r>
            <w:r>
              <w:rPr>
                <w:rFonts w:ascii="Times New Roman" w:hAnsi="Times New Roman" w:eastAsia="思源黑体" w:cs="Times New Roman"/>
                <w:b/>
                <w:bCs/>
                <w:color w:val="FFFFFF"/>
                <w:sz w:val="16"/>
                <w:szCs w:val="16"/>
              </w:rPr>
              <w:br w:type="textWrapping"/>
            </w:r>
            <w:r>
              <w:rPr>
                <w:rFonts w:ascii="Times New Roman" w:hAnsi="Times New Roman" w:eastAsia="思源黑体" w:cs="Times New Roman"/>
                <w:b/>
                <w:bCs/>
                <w:color w:val="FFFFFF"/>
                <w:sz w:val="16"/>
                <w:szCs w:val="16"/>
              </w:rPr>
              <w:t>术人员</w:t>
            </w:r>
            <w:r>
              <w:rPr>
                <w:rFonts w:ascii="Times New Roman" w:hAnsi="Times New Roman" w:eastAsia="思源黑体" w:cs="Times New Roman"/>
                <w:b/>
                <w:bCs/>
                <w:color w:val="FFFFFF"/>
                <w:sz w:val="16"/>
                <w:szCs w:val="16"/>
              </w:rPr>
              <w:br w:type="textWrapping"/>
            </w:r>
            <w:r>
              <w:rPr>
                <w:rFonts w:ascii="Times New Roman" w:hAnsi="Times New Roman" w:eastAsia="思源黑体" w:cs="Times New Roman"/>
                <w:b/>
                <w:bCs/>
                <w:color w:val="FFFFFF"/>
                <w:sz w:val="16"/>
                <w:szCs w:val="16"/>
              </w:rPr>
              <w:t>总数</w:t>
            </w:r>
          </w:p>
        </w:tc>
        <w:tc>
          <w:tcPr>
            <w:tcW w:w="640" w:type="dxa"/>
            <w:shd w:val="clear" w:color="auto" w:fill="1F4E79"/>
            <w:vAlign w:val="center"/>
          </w:tcPr>
          <w:p w14:paraId="7C903CE3">
            <w:pPr>
              <w:spacing w:before="0" w:after="0" w:line="252" w:lineRule="auto"/>
              <w:jc w:val="center"/>
            </w:pPr>
            <w:r>
              <w:rPr>
                <w:rFonts w:ascii="Times New Roman" w:hAnsi="Times New Roman" w:eastAsia="思源黑体" w:cs="Times New Roman"/>
                <w:b/>
                <w:bCs/>
                <w:color w:val="FFFFFF"/>
                <w:sz w:val="16"/>
                <w:szCs w:val="16"/>
              </w:rPr>
              <w:t>中级工</w:t>
            </w:r>
            <w:r>
              <w:rPr>
                <w:rFonts w:ascii="Times New Roman" w:hAnsi="Times New Roman" w:eastAsia="思源黑体" w:cs="Times New Roman"/>
                <w:b/>
                <w:bCs/>
                <w:color w:val="FFFFFF"/>
                <w:sz w:val="16"/>
                <w:szCs w:val="16"/>
              </w:rPr>
              <w:br w:type="textWrapping"/>
            </w:r>
            <w:r>
              <w:rPr>
                <w:rFonts w:ascii="Times New Roman" w:hAnsi="Times New Roman" w:eastAsia="思源黑体" w:cs="Times New Roman"/>
                <w:b/>
                <w:bCs/>
                <w:color w:val="FFFFFF"/>
                <w:sz w:val="16"/>
                <w:szCs w:val="16"/>
              </w:rPr>
              <w:t>以上</w:t>
            </w:r>
          </w:p>
        </w:tc>
        <w:tc>
          <w:tcPr>
            <w:tcW w:w="620" w:type="dxa"/>
            <w:shd w:val="clear" w:color="auto" w:fill="1F4E79"/>
            <w:vAlign w:val="center"/>
          </w:tcPr>
          <w:p w14:paraId="63C9B3B4">
            <w:pPr>
              <w:spacing w:before="0" w:after="0" w:line="252" w:lineRule="auto"/>
              <w:jc w:val="center"/>
            </w:pPr>
            <w:r>
              <w:rPr>
                <w:rFonts w:ascii="Times New Roman" w:hAnsi="Times New Roman" w:eastAsia="思源黑体" w:cs="Times New Roman"/>
                <w:b/>
                <w:bCs/>
                <w:color w:val="FFFFFF"/>
                <w:sz w:val="16"/>
                <w:szCs w:val="16"/>
              </w:rPr>
              <w:t>技术工人</w:t>
            </w:r>
            <w:r>
              <w:rPr>
                <w:rFonts w:ascii="Times New Roman" w:hAnsi="Times New Roman" w:eastAsia="思源黑体" w:cs="Times New Roman"/>
                <w:b/>
                <w:bCs/>
                <w:color w:val="FFFFFF"/>
                <w:sz w:val="16"/>
                <w:szCs w:val="16"/>
              </w:rPr>
              <w:br w:type="textWrapping"/>
            </w:r>
            <w:r>
              <w:rPr>
                <w:rFonts w:ascii="Times New Roman" w:hAnsi="Times New Roman" w:eastAsia="思源黑体" w:cs="Times New Roman"/>
                <w:b/>
                <w:bCs/>
                <w:color w:val="FFFFFF"/>
                <w:sz w:val="16"/>
                <w:szCs w:val="16"/>
              </w:rPr>
              <w:t>总数</w:t>
            </w:r>
          </w:p>
        </w:tc>
        <w:tc>
          <w:tcPr>
            <w:tcW w:w="800" w:type="dxa"/>
            <w:shd w:val="clear" w:color="auto" w:fill="1F4E79"/>
            <w:vAlign w:val="center"/>
          </w:tcPr>
          <w:p w14:paraId="72C4272F">
            <w:pPr>
              <w:spacing w:before="0" w:after="0" w:line="252" w:lineRule="auto"/>
              <w:jc w:val="center"/>
            </w:pPr>
            <w:r>
              <w:rPr>
                <w:rFonts w:ascii="Times New Roman" w:hAnsi="Times New Roman" w:eastAsia="思源黑体" w:cs="Times New Roman"/>
                <w:b/>
                <w:bCs/>
                <w:color w:val="FFFFFF"/>
                <w:sz w:val="16"/>
                <w:szCs w:val="16"/>
              </w:rPr>
              <w:t>净资产</w:t>
            </w:r>
          </w:p>
        </w:tc>
        <w:tc>
          <w:tcPr>
            <w:tcW w:w="560" w:type="dxa"/>
            <w:shd w:val="clear" w:color="auto" w:fill="1F4E79"/>
            <w:vAlign w:val="center"/>
          </w:tcPr>
          <w:p w14:paraId="532CB388">
            <w:pPr>
              <w:spacing w:before="0" w:after="0" w:line="252" w:lineRule="auto"/>
              <w:jc w:val="center"/>
            </w:pPr>
            <w:r>
              <w:rPr>
                <w:rFonts w:ascii="Times New Roman" w:hAnsi="Times New Roman" w:eastAsia="思源黑体" w:cs="Times New Roman"/>
                <w:b/>
                <w:bCs/>
                <w:color w:val="FFFFFF"/>
                <w:sz w:val="16"/>
                <w:szCs w:val="16"/>
              </w:rPr>
              <w:t>近3年</w:t>
            </w:r>
            <w:r>
              <w:rPr>
                <w:rFonts w:ascii="Times New Roman" w:hAnsi="Times New Roman" w:eastAsia="思源黑体" w:cs="Times New Roman"/>
                <w:b/>
                <w:bCs/>
                <w:color w:val="FFFFFF"/>
                <w:sz w:val="16"/>
                <w:szCs w:val="16"/>
              </w:rPr>
              <w:br w:type="textWrapping"/>
            </w:r>
            <w:r>
              <w:rPr>
                <w:rFonts w:ascii="Times New Roman" w:hAnsi="Times New Roman" w:eastAsia="思源黑体" w:cs="Times New Roman"/>
                <w:b/>
                <w:bCs/>
                <w:color w:val="FFFFFF"/>
                <w:sz w:val="16"/>
                <w:szCs w:val="16"/>
              </w:rPr>
              <w:t>财务</w:t>
            </w:r>
          </w:p>
        </w:tc>
        <w:tc>
          <w:tcPr>
            <w:tcW w:w="1688" w:type="dxa"/>
            <w:shd w:val="clear" w:color="auto" w:fill="1F4E79"/>
            <w:vAlign w:val="center"/>
          </w:tcPr>
          <w:p w14:paraId="37C57AD5">
            <w:pPr>
              <w:spacing w:before="0" w:after="0" w:line="252" w:lineRule="auto"/>
              <w:jc w:val="center"/>
            </w:pPr>
            <w:r>
              <w:rPr>
                <w:rFonts w:ascii="Times New Roman" w:hAnsi="Times New Roman" w:eastAsia="思源黑体" w:cs="Times New Roman"/>
                <w:b/>
                <w:bCs/>
                <w:color w:val="FFFFFF"/>
                <w:sz w:val="16"/>
                <w:szCs w:val="16"/>
              </w:rPr>
              <w:t>近5年累计有效业绩</w:t>
            </w:r>
          </w:p>
        </w:tc>
        <w:tc>
          <w:tcPr>
            <w:tcW w:w="3072" w:type="dxa"/>
            <w:shd w:val="clear" w:color="auto" w:fill="1F4E79"/>
            <w:vAlign w:val="center"/>
          </w:tcPr>
          <w:p w14:paraId="2B8403CA">
            <w:pPr>
              <w:spacing w:before="0" w:after="0" w:line="252" w:lineRule="auto"/>
              <w:jc w:val="center"/>
            </w:pPr>
            <w:r>
              <w:rPr>
                <w:rFonts w:ascii="Times New Roman" w:hAnsi="Times New Roman" w:eastAsia="思源黑体" w:cs="Times New Roman"/>
                <w:b/>
                <w:bCs/>
                <w:color w:val="FFFFFF"/>
                <w:sz w:val="16"/>
                <w:szCs w:val="16"/>
              </w:rPr>
              <w:t>技术设备</w:t>
            </w:r>
          </w:p>
        </w:tc>
      </w:tr>
      <w:tr w14:paraId="524831E0">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700" w:type="dxa"/>
            <w:vAlign w:val="center"/>
          </w:tcPr>
          <w:p w14:paraId="0168DCF2">
            <w:pPr>
              <w:spacing w:before="0" w:after="0" w:line="252" w:lineRule="auto"/>
              <w:jc w:val="center"/>
            </w:pPr>
            <w:r>
              <w:rPr>
                <w:rFonts w:ascii="Times New Roman" w:hAnsi="Times New Roman" w:eastAsia="思源黑体" w:cs="Times New Roman"/>
                <w:sz w:val="16"/>
                <w:szCs w:val="16"/>
              </w:rPr>
              <w:t>路基</w:t>
            </w:r>
            <w:r>
              <w:rPr>
                <w:rFonts w:ascii="Times New Roman" w:hAnsi="Times New Roman" w:eastAsia="思源黑体" w:cs="Times New Roman"/>
                <w:sz w:val="16"/>
                <w:szCs w:val="16"/>
              </w:rPr>
              <w:br w:type="textWrapping"/>
            </w:r>
            <w:r>
              <w:rPr>
                <w:rFonts w:ascii="Times New Roman" w:hAnsi="Times New Roman" w:eastAsia="思源黑体" w:cs="Times New Roman"/>
                <w:sz w:val="16"/>
                <w:szCs w:val="16"/>
              </w:rPr>
              <w:t>路面</w:t>
            </w:r>
          </w:p>
        </w:tc>
        <w:tc>
          <w:tcPr>
            <w:tcW w:w="640" w:type="dxa"/>
            <w:vAlign w:val="center"/>
          </w:tcPr>
          <w:p w14:paraId="705E30D9">
            <w:pPr>
              <w:spacing w:before="0" w:after="0" w:line="252" w:lineRule="auto"/>
              <w:jc w:val="center"/>
            </w:pPr>
            <w:r>
              <w:rPr>
                <w:rFonts w:ascii="Times New Roman" w:hAnsi="Times New Roman" w:eastAsia="思源黑体" w:cs="Times New Roman"/>
                <w:sz w:val="16"/>
                <w:szCs w:val="16"/>
              </w:rPr>
              <w:t>甲级</w:t>
            </w:r>
          </w:p>
        </w:tc>
        <w:tc>
          <w:tcPr>
            <w:tcW w:w="940" w:type="dxa"/>
            <w:vAlign w:val="center"/>
          </w:tcPr>
          <w:p w14:paraId="3A92BE6A">
            <w:pPr>
              <w:spacing w:before="0" w:after="0" w:line="252" w:lineRule="auto"/>
              <w:jc w:val="center"/>
            </w:pPr>
            <w:r>
              <w:rPr>
                <w:rFonts w:ascii="Times New Roman" w:hAnsi="Times New Roman" w:eastAsia="思源黑体" w:cs="Times New Roman"/>
                <w:sz w:val="16"/>
                <w:szCs w:val="16"/>
              </w:rPr>
              <w:t>≥10年</w:t>
            </w:r>
          </w:p>
        </w:tc>
        <w:tc>
          <w:tcPr>
            <w:tcW w:w="560" w:type="dxa"/>
            <w:vAlign w:val="center"/>
          </w:tcPr>
          <w:p w14:paraId="73728CFA">
            <w:pPr>
              <w:spacing w:before="0" w:after="0" w:line="252" w:lineRule="auto"/>
              <w:jc w:val="center"/>
            </w:pPr>
            <w:r>
              <w:rPr>
                <w:rFonts w:ascii="Times New Roman" w:hAnsi="Times New Roman" w:eastAsia="思源黑体" w:cs="Times New Roman"/>
                <w:sz w:val="16"/>
                <w:szCs w:val="16"/>
              </w:rPr>
              <w:t>高级</w:t>
            </w:r>
          </w:p>
        </w:tc>
        <w:tc>
          <w:tcPr>
            <w:tcW w:w="2200" w:type="dxa"/>
            <w:vAlign w:val="center"/>
          </w:tcPr>
          <w:p w14:paraId="30C408AD">
            <w:pPr>
              <w:spacing w:before="0" w:after="0" w:line="252" w:lineRule="auto"/>
              <w:jc w:val="center"/>
            </w:pPr>
            <w:r>
              <w:rPr>
                <w:rFonts w:ascii="Times New Roman" w:hAnsi="Times New Roman" w:eastAsia="思源黑体" w:cs="Times New Roman"/>
                <w:sz w:val="16"/>
                <w:szCs w:val="16"/>
              </w:rPr>
              <w:t>①路基路面各类养护≥100km，其中二级及以上≥50km</w:t>
            </w:r>
            <w:r>
              <w:rPr>
                <w:rFonts w:ascii="Times New Roman" w:hAnsi="Times New Roman" w:eastAsia="思源黑体" w:cs="Times New Roman"/>
                <w:sz w:val="16"/>
                <w:szCs w:val="16"/>
              </w:rPr>
              <w:br w:type="textWrapping"/>
            </w:r>
            <w:r>
              <w:rPr>
                <w:rFonts w:ascii="Times New Roman" w:hAnsi="Times New Roman" w:eastAsia="思源黑体" w:cs="Times New Roman"/>
                <w:sz w:val="16"/>
                <w:szCs w:val="16"/>
              </w:rPr>
              <w:t>②质量合格</w:t>
            </w:r>
          </w:p>
        </w:tc>
        <w:tc>
          <w:tcPr>
            <w:tcW w:w="960" w:type="dxa"/>
            <w:vAlign w:val="center"/>
          </w:tcPr>
          <w:p w14:paraId="2F718FC3">
            <w:pPr>
              <w:spacing w:before="0" w:after="0" w:line="252" w:lineRule="auto"/>
              <w:jc w:val="center"/>
            </w:pPr>
            <w:r>
              <w:rPr>
                <w:rFonts w:ascii="Times New Roman" w:hAnsi="Times New Roman" w:eastAsia="思源黑体" w:cs="Times New Roman"/>
                <w:sz w:val="16"/>
                <w:szCs w:val="16"/>
              </w:rPr>
              <w:t>一级≥1或二级及以上≥4</w:t>
            </w:r>
          </w:p>
        </w:tc>
        <w:tc>
          <w:tcPr>
            <w:tcW w:w="900" w:type="dxa"/>
            <w:vAlign w:val="center"/>
          </w:tcPr>
          <w:p w14:paraId="25889C29">
            <w:pPr>
              <w:spacing w:before="0" w:after="0" w:line="252" w:lineRule="auto"/>
              <w:jc w:val="center"/>
            </w:pPr>
            <w:r>
              <w:rPr>
                <w:rFonts w:ascii="Times New Roman" w:hAnsi="Times New Roman" w:eastAsia="思源黑体" w:cs="Times New Roman"/>
                <w:sz w:val="16"/>
                <w:szCs w:val="16"/>
              </w:rPr>
              <w:t>≥10（高级≥2）</w:t>
            </w:r>
          </w:p>
        </w:tc>
        <w:tc>
          <w:tcPr>
            <w:tcW w:w="640" w:type="dxa"/>
            <w:vAlign w:val="center"/>
          </w:tcPr>
          <w:p w14:paraId="3D39915C">
            <w:pPr>
              <w:spacing w:before="0" w:after="0" w:line="252" w:lineRule="auto"/>
              <w:jc w:val="center"/>
            </w:pPr>
            <w:r>
              <w:rPr>
                <w:rFonts w:ascii="Times New Roman" w:hAnsi="Times New Roman" w:eastAsia="思源黑体" w:cs="Times New Roman"/>
                <w:sz w:val="16"/>
                <w:szCs w:val="16"/>
              </w:rPr>
              <w:t>≥1</w:t>
            </w:r>
          </w:p>
        </w:tc>
        <w:tc>
          <w:tcPr>
            <w:tcW w:w="860" w:type="dxa"/>
            <w:vAlign w:val="center"/>
          </w:tcPr>
          <w:p w14:paraId="2943FF1E">
            <w:pPr>
              <w:spacing w:before="0" w:after="0" w:line="252" w:lineRule="auto"/>
              <w:jc w:val="center"/>
            </w:pPr>
            <w:r>
              <w:rPr>
                <w:rFonts w:ascii="Times New Roman" w:hAnsi="Times New Roman" w:eastAsia="思源黑体" w:cs="Times New Roman"/>
                <w:sz w:val="16"/>
                <w:szCs w:val="16"/>
              </w:rPr>
              <w:t>≥1</w:t>
            </w:r>
          </w:p>
        </w:tc>
        <w:tc>
          <w:tcPr>
            <w:tcW w:w="620" w:type="dxa"/>
            <w:vAlign w:val="center"/>
          </w:tcPr>
          <w:p w14:paraId="2F7A6099">
            <w:pPr>
              <w:spacing w:before="0" w:after="0" w:line="252" w:lineRule="auto"/>
              <w:jc w:val="center"/>
            </w:pPr>
            <w:r>
              <w:rPr>
                <w:rFonts w:ascii="Times New Roman" w:hAnsi="Times New Roman" w:eastAsia="思源黑体" w:cs="Times New Roman"/>
                <w:sz w:val="16"/>
                <w:szCs w:val="16"/>
              </w:rPr>
              <w:t>≥20</w:t>
            </w:r>
          </w:p>
        </w:tc>
        <w:tc>
          <w:tcPr>
            <w:tcW w:w="640" w:type="dxa"/>
            <w:vAlign w:val="center"/>
          </w:tcPr>
          <w:p w14:paraId="238C6D09">
            <w:pPr>
              <w:spacing w:before="0" w:after="0" w:line="252" w:lineRule="auto"/>
              <w:jc w:val="center"/>
            </w:pPr>
            <w:r>
              <w:rPr>
                <w:rFonts w:ascii="Times New Roman" w:hAnsi="Times New Roman" w:eastAsia="思源黑体" w:cs="Times New Roman"/>
                <w:sz w:val="16"/>
                <w:szCs w:val="16"/>
              </w:rPr>
              <w:t>≥18（高级工≥6）</w:t>
            </w:r>
          </w:p>
        </w:tc>
        <w:tc>
          <w:tcPr>
            <w:tcW w:w="620" w:type="dxa"/>
            <w:vAlign w:val="center"/>
          </w:tcPr>
          <w:p w14:paraId="436333AD">
            <w:pPr>
              <w:spacing w:before="0" w:after="0" w:line="252" w:lineRule="auto"/>
              <w:jc w:val="center"/>
            </w:pPr>
            <w:r>
              <w:rPr>
                <w:rFonts w:ascii="Times New Roman" w:hAnsi="Times New Roman" w:eastAsia="思源黑体" w:cs="Times New Roman"/>
                <w:sz w:val="16"/>
                <w:szCs w:val="16"/>
              </w:rPr>
              <w:t>≥30</w:t>
            </w:r>
          </w:p>
        </w:tc>
        <w:tc>
          <w:tcPr>
            <w:tcW w:w="800" w:type="dxa"/>
            <w:vAlign w:val="center"/>
          </w:tcPr>
          <w:p w14:paraId="6A95AEA4">
            <w:pPr>
              <w:spacing w:before="0" w:after="0" w:line="252" w:lineRule="auto"/>
              <w:jc w:val="center"/>
            </w:pPr>
            <w:r>
              <w:rPr>
                <w:rFonts w:ascii="Times New Roman" w:hAnsi="Times New Roman" w:eastAsia="思源黑体" w:cs="Times New Roman"/>
                <w:sz w:val="16"/>
                <w:szCs w:val="16"/>
              </w:rPr>
              <w:t>≥3000万</w:t>
            </w:r>
          </w:p>
        </w:tc>
        <w:tc>
          <w:tcPr>
            <w:tcW w:w="560" w:type="dxa"/>
            <w:vAlign w:val="center"/>
          </w:tcPr>
          <w:p w14:paraId="42B07473">
            <w:pPr>
              <w:spacing w:before="0" w:after="0" w:line="252" w:lineRule="auto"/>
              <w:jc w:val="center"/>
            </w:pPr>
            <w:r>
              <w:rPr>
                <w:rFonts w:ascii="Times New Roman" w:hAnsi="Times New Roman" w:eastAsia="思源黑体" w:cs="Times New Roman"/>
                <w:sz w:val="16"/>
                <w:szCs w:val="16"/>
              </w:rPr>
              <w:t>良好</w:t>
            </w:r>
          </w:p>
        </w:tc>
        <w:tc>
          <w:tcPr>
            <w:tcW w:w="1688" w:type="dxa"/>
            <w:vAlign w:val="center"/>
          </w:tcPr>
          <w:p w14:paraId="33F0F004">
            <w:pPr>
              <w:spacing w:before="0" w:after="0" w:line="252" w:lineRule="auto"/>
              <w:jc w:val="center"/>
            </w:pPr>
            <w:r>
              <w:rPr>
                <w:rFonts w:ascii="Times New Roman" w:hAnsi="Times New Roman" w:eastAsia="思源黑体" w:cs="Times New Roman"/>
                <w:sz w:val="16"/>
                <w:szCs w:val="16"/>
              </w:rPr>
              <w:t>修复养护≥150km，其中一级≥50或二级≥100；质量合格</w:t>
            </w:r>
          </w:p>
        </w:tc>
        <w:tc>
          <w:tcPr>
            <w:tcW w:w="3072" w:type="dxa"/>
            <w:vAlign w:val="center"/>
          </w:tcPr>
          <w:p w14:paraId="79DA1F91">
            <w:pPr>
              <w:spacing w:before="0" w:after="0" w:line="252" w:lineRule="auto"/>
              <w:jc w:val="center"/>
            </w:pPr>
            <w:r>
              <w:rPr>
                <w:rFonts w:ascii="Times New Roman" w:hAnsi="Times New Roman" w:eastAsia="思源黑体" w:cs="Times New Roman"/>
                <w:sz w:val="16"/>
                <w:szCs w:val="16"/>
              </w:rPr>
              <w:t>防撞缓冲车、压路机、摊铺机、铣刨机、挖掘机等</w:t>
            </w:r>
          </w:p>
        </w:tc>
      </w:tr>
      <w:tr w14:paraId="7B9A1618">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700" w:type="dxa"/>
            <w:vAlign w:val="center"/>
          </w:tcPr>
          <w:p w14:paraId="04AF469C">
            <w:pPr>
              <w:spacing w:before="0" w:after="0" w:line="252" w:lineRule="auto"/>
              <w:jc w:val="center"/>
            </w:pPr>
            <w:r>
              <w:rPr>
                <w:rFonts w:ascii="Times New Roman" w:hAnsi="Times New Roman" w:eastAsia="思源黑体" w:cs="Times New Roman"/>
                <w:sz w:val="16"/>
                <w:szCs w:val="16"/>
              </w:rPr>
              <w:t>路基</w:t>
            </w:r>
            <w:r>
              <w:rPr>
                <w:rFonts w:ascii="Times New Roman" w:hAnsi="Times New Roman" w:eastAsia="思源黑体" w:cs="Times New Roman"/>
                <w:sz w:val="16"/>
                <w:szCs w:val="16"/>
              </w:rPr>
              <w:br w:type="textWrapping"/>
            </w:r>
            <w:r>
              <w:rPr>
                <w:rFonts w:ascii="Times New Roman" w:hAnsi="Times New Roman" w:eastAsia="思源黑体" w:cs="Times New Roman"/>
                <w:sz w:val="16"/>
                <w:szCs w:val="16"/>
              </w:rPr>
              <w:t>路面</w:t>
            </w:r>
          </w:p>
        </w:tc>
        <w:tc>
          <w:tcPr>
            <w:tcW w:w="640" w:type="dxa"/>
            <w:vAlign w:val="center"/>
          </w:tcPr>
          <w:p w14:paraId="7BD98E24">
            <w:pPr>
              <w:spacing w:before="0" w:after="0" w:line="252" w:lineRule="auto"/>
              <w:jc w:val="center"/>
            </w:pPr>
            <w:r>
              <w:rPr>
                <w:rFonts w:ascii="Times New Roman" w:hAnsi="Times New Roman" w:eastAsia="思源黑体" w:cs="Times New Roman"/>
                <w:sz w:val="16"/>
                <w:szCs w:val="16"/>
              </w:rPr>
              <w:t>乙级</w:t>
            </w:r>
          </w:p>
        </w:tc>
        <w:tc>
          <w:tcPr>
            <w:tcW w:w="940" w:type="dxa"/>
            <w:vAlign w:val="center"/>
          </w:tcPr>
          <w:p w14:paraId="4A3DEA8E">
            <w:pPr>
              <w:spacing w:before="0" w:after="0" w:line="252" w:lineRule="auto"/>
              <w:jc w:val="center"/>
            </w:pPr>
            <w:r>
              <w:rPr>
                <w:rFonts w:ascii="Times New Roman" w:hAnsi="Times New Roman" w:eastAsia="思源黑体" w:cs="Times New Roman"/>
                <w:sz w:val="16"/>
                <w:szCs w:val="16"/>
              </w:rPr>
              <w:t>≥6年</w:t>
            </w:r>
          </w:p>
        </w:tc>
        <w:tc>
          <w:tcPr>
            <w:tcW w:w="560" w:type="dxa"/>
            <w:vAlign w:val="center"/>
          </w:tcPr>
          <w:p w14:paraId="2E54303D">
            <w:pPr>
              <w:spacing w:before="0" w:after="0" w:line="252" w:lineRule="auto"/>
              <w:jc w:val="center"/>
            </w:pPr>
            <w:r>
              <w:rPr>
                <w:rFonts w:ascii="Times New Roman" w:hAnsi="Times New Roman" w:eastAsia="思源黑体" w:cs="Times New Roman"/>
                <w:sz w:val="16"/>
                <w:szCs w:val="16"/>
              </w:rPr>
              <w:t>高级</w:t>
            </w:r>
          </w:p>
        </w:tc>
        <w:tc>
          <w:tcPr>
            <w:tcW w:w="2200" w:type="dxa"/>
            <w:vAlign w:val="center"/>
          </w:tcPr>
          <w:p w14:paraId="7E6290D3">
            <w:pPr>
              <w:spacing w:before="0" w:after="0" w:line="252" w:lineRule="auto"/>
              <w:jc w:val="center"/>
            </w:pPr>
            <w:r>
              <w:rPr>
                <w:rFonts w:ascii="Times New Roman" w:hAnsi="Times New Roman" w:eastAsia="思源黑体" w:cs="Times New Roman"/>
                <w:sz w:val="16"/>
                <w:szCs w:val="16"/>
              </w:rPr>
              <w:t>①路基路面各类养护≥70km，其中二级及以上≥30km</w:t>
            </w:r>
            <w:r>
              <w:rPr>
                <w:rFonts w:ascii="Times New Roman" w:hAnsi="Times New Roman" w:eastAsia="思源黑体" w:cs="Times New Roman"/>
                <w:sz w:val="16"/>
                <w:szCs w:val="16"/>
              </w:rPr>
              <w:br w:type="textWrapping"/>
            </w:r>
            <w:r>
              <w:rPr>
                <w:rFonts w:ascii="Times New Roman" w:hAnsi="Times New Roman" w:eastAsia="思源黑体" w:cs="Times New Roman"/>
                <w:sz w:val="16"/>
                <w:szCs w:val="16"/>
              </w:rPr>
              <w:t>②质量合格</w:t>
            </w:r>
          </w:p>
        </w:tc>
        <w:tc>
          <w:tcPr>
            <w:tcW w:w="960" w:type="dxa"/>
            <w:vAlign w:val="center"/>
          </w:tcPr>
          <w:p w14:paraId="2C7CDAFD">
            <w:pPr>
              <w:spacing w:before="0" w:after="0" w:line="252" w:lineRule="auto"/>
              <w:jc w:val="center"/>
            </w:pPr>
            <w:r>
              <w:rPr>
                <w:rFonts w:ascii="Times New Roman" w:hAnsi="Times New Roman" w:eastAsia="思源黑体" w:cs="Times New Roman"/>
                <w:sz w:val="16"/>
                <w:szCs w:val="16"/>
              </w:rPr>
              <w:t>二级及以上≥2</w:t>
            </w:r>
          </w:p>
        </w:tc>
        <w:tc>
          <w:tcPr>
            <w:tcW w:w="900" w:type="dxa"/>
            <w:vAlign w:val="center"/>
          </w:tcPr>
          <w:p w14:paraId="07DD5DF2">
            <w:pPr>
              <w:spacing w:before="0" w:after="0" w:line="252" w:lineRule="auto"/>
              <w:jc w:val="center"/>
            </w:pPr>
            <w:r>
              <w:rPr>
                <w:rFonts w:ascii="Times New Roman" w:hAnsi="Times New Roman" w:eastAsia="思源黑体" w:cs="Times New Roman"/>
                <w:sz w:val="16"/>
                <w:szCs w:val="16"/>
              </w:rPr>
              <w:t>≥5</w:t>
            </w:r>
          </w:p>
        </w:tc>
        <w:tc>
          <w:tcPr>
            <w:tcW w:w="640" w:type="dxa"/>
            <w:vAlign w:val="center"/>
          </w:tcPr>
          <w:p w14:paraId="76B3345B">
            <w:pPr>
              <w:spacing w:before="0" w:after="0" w:line="252" w:lineRule="auto"/>
              <w:jc w:val="center"/>
            </w:pPr>
            <w:r>
              <w:rPr>
                <w:rFonts w:ascii="Times New Roman" w:hAnsi="Times New Roman" w:eastAsia="思源黑体" w:cs="Times New Roman"/>
                <w:sz w:val="16"/>
                <w:szCs w:val="16"/>
              </w:rPr>
              <w:t>≥1</w:t>
            </w:r>
          </w:p>
        </w:tc>
        <w:tc>
          <w:tcPr>
            <w:tcW w:w="860" w:type="dxa"/>
            <w:vAlign w:val="center"/>
          </w:tcPr>
          <w:p w14:paraId="6C960733">
            <w:pPr>
              <w:spacing w:before="0" w:after="0" w:line="252" w:lineRule="auto"/>
              <w:jc w:val="center"/>
            </w:pPr>
            <w:r>
              <w:rPr>
                <w:rFonts w:ascii="Times New Roman" w:hAnsi="Times New Roman" w:eastAsia="思源黑体" w:cs="Times New Roman"/>
                <w:sz w:val="16"/>
                <w:szCs w:val="16"/>
              </w:rPr>
              <w:t>—</w:t>
            </w:r>
          </w:p>
        </w:tc>
        <w:tc>
          <w:tcPr>
            <w:tcW w:w="620" w:type="dxa"/>
            <w:vAlign w:val="center"/>
          </w:tcPr>
          <w:p w14:paraId="14F19C97">
            <w:pPr>
              <w:spacing w:before="0" w:after="0" w:line="252" w:lineRule="auto"/>
              <w:jc w:val="center"/>
            </w:pPr>
            <w:r>
              <w:rPr>
                <w:rFonts w:ascii="Times New Roman" w:hAnsi="Times New Roman" w:eastAsia="思源黑体" w:cs="Times New Roman"/>
                <w:sz w:val="16"/>
                <w:szCs w:val="16"/>
              </w:rPr>
              <w:t>≥10</w:t>
            </w:r>
          </w:p>
        </w:tc>
        <w:tc>
          <w:tcPr>
            <w:tcW w:w="640" w:type="dxa"/>
            <w:vAlign w:val="center"/>
          </w:tcPr>
          <w:p w14:paraId="45A8897E">
            <w:pPr>
              <w:spacing w:before="0" w:after="0" w:line="252" w:lineRule="auto"/>
              <w:jc w:val="center"/>
            </w:pPr>
            <w:r>
              <w:rPr>
                <w:rFonts w:ascii="Times New Roman" w:hAnsi="Times New Roman" w:eastAsia="思源黑体" w:cs="Times New Roman"/>
                <w:sz w:val="16"/>
                <w:szCs w:val="16"/>
              </w:rPr>
              <w:t>≥9（高级工≥3）</w:t>
            </w:r>
          </w:p>
        </w:tc>
        <w:tc>
          <w:tcPr>
            <w:tcW w:w="620" w:type="dxa"/>
            <w:vAlign w:val="center"/>
          </w:tcPr>
          <w:p w14:paraId="6A6448B7">
            <w:pPr>
              <w:spacing w:before="0" w:after="0" w:line="252" w:lineRule="auto"/>
              <w:jc w:val="center"/>
            </w:pPr>
            <w:r>
              <w:rPr>
                <w:rFonts w:ascii="Times New Roman" w:hAnsi="Times New Roman" w:eastAsia="思源黑体" w:cs="Times New Roman"/>
                <w:sz w:val="16"/>
                <w:szCs w:val="16"/>
              </w:rPr>
              <w:t>≥20</w:t>
            </w:r>
          </w:p>
        </w:tc>
        <w:tc>
          <w:tcPr>
            <w:tcW w:w="800" w:type="dxa"/>
            <w:vAlign w:val="center"/>
          </w:tcPr>
          <w:p w14:paraId="290BB81B">
            <w:pPr>
              <w:spacing w:before="0" w:after="0" w:line="252" w:lineRule="auto"/>
              <w:jc w:val="center"/>
            </w:pPr>
            <w:r>
              <w:rPr>
                <w:rFonts w:ascii="Times New Roman" w:hAnsi="Times New Roman" w:eastAsia="思源黑体" w:cs="Times New Roman"/>
                <w:sz w:val="16"/>
                <w:szCs w:val="16"/>
              </w:rPr>
              <w:t>≥1000万</w:t>
            </w:r>
          </w:p>
        </w:tc>
        <w:tc>
          <w:tcPr>
            <w:tcW w:w="560" w:type="dxa"/>
            <w:vAlign w:val="center"/>
          </w:tcPr>
          <w:p w14:paraId="6C193C0E">
            <w:pPr>
              <w:spacing w:before="0" w:after="0" w:line="252" w:lineRule="auto"/>
              <w:jc w:val="center"/>
            </w:pPr>
            <w:r>
              <w:rPr>
                <w:rFonts w:ascii="Times New Roman" w:hAnsi="Times New Roman" w:eastAsia="思源黑体" w:cs="Times New Roman"/>
                <w:sz w:val="16"/>
                <w:szCs w:val="16"/>
              </w:rPr>
              <w:t>良好</w:t>
            </w:r>
          </w:p>
        </w:tc>
        <w:tc>
          <w:tcPr>
            <w:tcW w:w="1688" w:type="dxa"/>
            <w:vAlign w:val="center"/>
          </w:tcPr>
          <w:p w14:paraId="113520EF">
            <w:pPr>
              <w:spacing w:before="0" w:after="0" w:line="252" w:lineRule="auto"/>
              <w:jc w:val="center"/>
            </w:pPr>
            <w:r>
              <w:rPr>
                <w:rFonts w:ascii="Times New Roman" w:hAnsi="Times New Roman" w:eastAsia="思源黑体" w:cs="Times New Roman"/>
                <w:sz w:val="16"/>
                <w:szCs w:val="16"/>
              </w:rPr>
              <w:t>／</w:t>
            </w:r>
          </w:p>
        </w:tc>
        <w:tc>
          <w:tcPr>
            <w:tcW w:w="3072" w:type="dxa"/>
            <w:vAlign w:val="center"/>
          </w:tcPr>
          <w:p w14:paraId="1C24E034">
            <w:pPr>
              <w:spacing w:before="0" w:after="0" w:line="252" w:lineRule="auto"/>
              <w:jc w:val="center"/>
            </w:pPr>
            <w:r>
              <w:rPr>
                <w:rFonts w:ascii="Times New Roman" w:hAnsi="Times New Roman" w:eastAsia="思源黑体" w:cs="Times New Roman"/>
                <w:sz w:val="16"/>
                <w:szCs w:val="16"/>
              </w:rPr>
              <w:t>防撞缓冲车、摊铺机、铣刨机、挖掘机等</w:t>
            </w:r>
          </w:p>
        </w:tc>
      </w:tr>
      <w:tr w14:paraId="54717706">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700" w:type="dxa"/>
            <w:vAlign w:val="center"/>
          </w:tcPr>
          <w:p w14:paraId="386FF943">
            <w:pPr>
              <w:spacing w:before="0" w:after="0" w:line="252" w:lineRule="auto"/>
              <w:jc w:val="center"/>
            </w:pPr>
            <w:r>
              <w:rPr>
                <w:rFonts w:ascii="Times New Roman" w:hAnsi="Times New Roman" w:eastAsia="思源黑体" w:cs="Times New Roman"/>
                <w:sz w:val="16"/>
                <w:szCs w:val="16"/>
              </w:rPr>
              <w:t>桥梁</w:t>
            </w:r>
          </w:p>
        </w:tc>
        <w:tc>
          <w:tcPr>
            <w:tcW w:w="640" w:type="dxa"/>
            <w:vAlign w:val="center"/>
          </w:tcPr>
          <w:p w14:paraId="3A33F21C">
            <w:pPr>
              <w:spacing w:before="0" w:after="0" w:line="252" w:lineRule="auto"/>
              <w:jc w:val="center"/>
            </w:pPr>
            <w:r>
              <w:rPr>
                <w:rFonts w:ascii="Times New Roman" w:hAnsi="Times New Roman" w:eastAsia="思源黑体" w:cs="Times New Roman"/>
                <w:sz w:val="16"/>
                <w:szCs w:val="16"/>
              </w:rPr>
              <w:t>甲级</w:t>
            </w:r>
          </w:p>
        </w:tc>
        <w:tc>
          <w:tcPr>
            <w:tcW w:w="940" w:type="dxa"/>
            <w:vAlign w:val="center"/>
          </w:tcPr>
          <w:p w14:paraId="127014F4">
            <w:pPr>
              <w:spacing w:before="0" w:after="0" w:line="252" w:lineRule="auto"/>
              <w:jc w:val="center"/>
            </w:pPr>
            <w:r>
              <w:rPr>
                <w:rFonts w:ascii="Times New Roman" w:hAnsi="Times New Roman" w:eastAsia="思源黑体" w:cs="Times New Roman"/>
                <w:sz w:val="16"/>
                <w:szCs w:val="16"/>
              </w:rPr>
              <w:t>≥10年</w:t>
            </w:r>
          </w:p>
        </w:tc>
        <w:tc>
          <w:tcPr>
            <w:tcW w:w="560" w:type="dxa"/>
            <w:vAlign w:val="center"/>
          </w:tcPr>
          <w:p w14:paraId="2CF8DD97">
            <w:pPr>
              <w:spacing w:before="0" w:after="0" w:line="252" w:lineRule="auto"/>
              <w:jc w:val="center"/>
            </w:pPr>
            <w:r>
              <w:rPr>
                <w:rFonts w:ascii="Times New Roman" w:hAnsi="Times New Roman" w:eastAsia="思源黑体" w:cs="Times New Roman"/>
                <w:sz w:val="16"/>
                <w:szCs w:val="16"/>
              </w:rPr>
              <w:t>高级</w:t>
            </w:r>
          </w:p>
        </w:tc>
        <w:tc>
          <w:tcPr>
            <w:tcW w:w="2200" w:type="dxa"/>
            <w:vAlign w:val="center"/>
          </w:tcPr>
          <w:p w14:paraId="654DAA37">
            <w:pPr>
              <w:spacing w:before="0" w:after="0" w:line="252" w:lineRule="auto"/>
              <w:jc w:val="center"/>
            </w:pPr>
            <w:r>
              <w:rPr>
                <w:rFonts w:ascii="Times New Roman" w:hAnsi="Times New Roman" w:eastAsia="思源黑体" w:cs="Times New Roman"/>
                <w:sz w:val="16"/>
                <w:szCs w:val="16"/>
              </w:rPr>
              <w:t>①大桥及以上修复养护≥2座，其中特大桥≥1</w:t>
            </w:r>
            <w:r>
              <w:rPr>
                <w:rFonts w:ascii="Times New Roman" w:hAnsi="Times New Roman" w:eastAsia="思源黑体" w:cs="Times New Roman"/>
                <w:sz w:val="16"/>
                <w:szCs w:val="16"/>
              </w:rPr>
              <w:br w:type="textWrapping"/>
            </w:r>
            <w:r>
              <w:rPr>
                <w:rFonts w:ascii="Times New Roman" w:hAnsi="Times New Roman" w:eastAsia="思源黑体" w:cs="Times New Roman"/>
                <w:sz w:val="16"/>
                <w:szCs w:val="16"/>
              </w:rPr>
              <w:t>②质量合格</w:t>
            </w:r>
          </w:p>
        </w:tc>
        <w:tc>
          <w:tcPr>
            <w:tcW w:w="960" w:type="dxa"/>
            <w:vAlign w:val="center"/>
          </w:tcPr>
          <w:p w14:paraId="19CFEFCD">
            <w:pPr>
              <w:spacing w:before="0" w:after="0" w:line="252" w:lineRule="auto"/>
              <w:jc w:val="center"/>
            </w:pPr>
            <w:r>
              <w:rPr>
                <w:rFonts w:ascii="Times New Roman" w:hAnsi="Times New Roman" w:eastAsia="思源黑体" w:cs="Times New Roman"/>
                <w:sz w:val="16"/>
                <w:szCs w:val="16"/>
              </w:rPr>
              <w:t>一级≥1</w:t>
            </w:r>
          </w:p>
        </w:tc>
        <w:tc>
          <w:tcPr>
            <w:tcW w:w="900" w:type="dxa"/>
            <w:vAlign w:val="center"/>
          </w:tcPr>
          <w:p w14:paraId="0AB2BF59">
            <w:pPr>
              <w:spacing w:before="0" w:after="0" w:line="252" w:lineRule="auto"/>
              <w:jc w:val="center"/>
            </w:pPr>
            <w:r>
              <w:rPr>
                <w:rFonts w:ascii="Times New Roman" w:hAnsi="Times New Roman" w:eastAsia="思源黑体" w:cs="Times New Roman"/>
                <w:sz w:val="16"/>
                <w:szCs w:val="16"/>
              </w:rPr>
              <w:t>≥8（高级≥2）</w:t>
            </w:r>
          </w:p>
        </w:tc>
        <w:tc>
          <w:tcPr>
            <w:tcW w:w="640" w:type="dxa"/>
            <w:vAlign w:val="center"/>
          </w:tcPr>
          <w:p w14:paraId="0C210434">
            <w:pPr>
              <w:spacing w:before="0" w:after="0" w:line="252" w:lineRule="auto"/>
              <w:jc w:val="center"/>
            </w:pPr>
            <w:r>
              <w:rPr>
                <w:rFonts w:ascii="Times New Roman" w:hAnsi="Times New Roman" w:eastAsia="思源黑体" w:cs="Times New Roman"/>
                <w:sz w:val="16"/>
                <w:szCs w:val="16"/>
              </w:rPr>
              <w:t>≥1</w:t>
            </w:r>
          </w:p>
        </w:tc>
        <w:tc>
          <w:tcPr>
            <w:tcW w:w="860" w:type="dxa"/>
            <w:vAlign w:val="center"/>
          </w:tcPr>
          <w:p w14:paraId="25A3A79E">
            <w:pPr>
              <w:spacing w:before="0" w:after="0" w:line="252" w:lineRule="auto"/>
              <w:jc w:val="center"/>
            </w:pPr>
            <w:r>
              <w:rPr>
                <w:rFonts w:ascii="Times New Roman" w:hAnsi="Times New Roman" w:eastAsia="思源黑体" w:cs="Times New Roman"/>
                <w:sz w:val="16"/>
                <w:szCs w:val="16"/>
              </w:rPr>
              <w:t>≥1</w:t>
            </w:r>
          </w:p>
        </w:tc>
        <w:tc>
          <w:tcPr>
            <w:tcW w:w="620" w:type="dxa"/>
            <w:vAlign w:val="center"/>
          </w:tcPr>
          <w:p w14:paraId="5A411850">
            <w:pPr>
              <w:spacing w:before="0" w:after="0" w:line="252" w:lineRule="auto"/>
              <w:jc w:val="center"/>
            </w:pPr>
            <w:r>
              <w:rPr>
                <w:rFonts w:ascii="Times New Roman" w:hAnsi="Times New Roman" w:eastAsia="思源黑体" w:cs="Times New Roman"/>
                <w:sz w:val="16"/>
                <w:szCs w:val="16"/>
              </w:rPr>
              <w:t>≥15</w:t>
            </w:r>
          </w:p>
        </w:tc>
        <w:tc>
          <w:tcPr>
            <w:tcW w:w="640" w:type="dxa"/>
            <w:vAlign w:val="center"/>
          </w:tcPr>
          <w:p w14:paraId="423D90D3">
            <w:pPr>
              <w:spacing w:before="0" w:after="0" w:line="252" w:lineRule="auto"/>
              <w:jc w:val="center"/>
            </w:pPr>
            <w:r>
              <w:rPr>
                <w:rFonts w:ascii="Times New Roman" w:hAnsi="Times New Roman" w:eastAsia="思源黑体" w:cs="Times New Roman"/>
                <w:sz w:val="16"/>
                <w:szCs w:val="16"/>
              </w:rPr>
              <w:t>≥12（高级工≥4）</w:t>
            </w:r>
          </w:p>
        </w:tc>
        <w:tc>
          <w:tcPr>
            <w:tcW w:w="620" w:type="dxa"/>
            <w:vAlign w:val="center"/>
          </w:tcPr>
          <w:p w14:paraId="23CEC5CC">
            <w:pPr>
              <w:spacing w:before="0" w:after="0" w:line="252" w:lineRule="auto"/>
              <w:jc w:val="center"/>
            </w:pPr>
            <w:r>
              <w:rPr>
                <w:rFonts w:ascii="Times New Roman" w:hAnsi="Times New Roman" w:eastAsia="思源黑体" w:cs="Times New Roman"/>
                <w:sz w:val="16"/>
                <w:szCs w:val="16"/>
              </w:rPr>
              <w:t>≥20</w:t>
            </w:r>
          </w:p>
        </w:tc>
        <w:tc>
          <w:tcPr>
            <w:tcW w:w="800" w:type="dxa"/>
            <w:vAlign w:val="center"/>
          </w:tcPr>
          <w:p w14:paraId="4A004416">
            <w:pPr>
              <w:spacing w:before="0" w:after="0" w:line="252" w:lineRule="auto"/>
              <w:jc w:val="center"/>
            </w:pPr>
            <w:r>
              <w:rPr>
                <w:rFonts w:ascii="Times New Roman" w:hAnsi="Times New Roman" w:eastAsia="思源黑体" w:cs="Times New Roman"/>
                <w:sz w:val="16"/>
                <w:szCs w:val="16"/>
              </w:rPr>
              <w:t>≥2000万</w:t>
            </w:r>
          </w:p>
        </w:tc>
        <w:tc>
          <w:tcPr>
            <w:tcW w:w="560" w:type="dxa"/>
            <w:vAlign w:val="center"/>
          </w:tcPr>
          <w:p w14:paraId="32D00095">
            <w:pPr>
              <w:spacing w:before="0" w:after="0" w:line="252" w:lineRule="auto"/>
              <w:jc w:val="center"/>
            </w:pPr>
            <w:r>
              <w:rPr>
                <w:rFonts w:ascii="Times New Roman" w:hAnsi="Times New Roman" w:eastAsia="思源黑体" w:cs="Times New Roman"/>
                <w:sz w:val="16"/>
                <w:szCs w:val="16"/>
              </w:rPr>
              <w:t>良好</w:t>
            </w:r>
          </w:p>
        </w:tc>
        <w:tc>
          <w:tcPr>
            <w:tcW w:w="1688" w:type="dxa"/>
            <w:vAlign w:val="center"/>
          </w:tcPr>
          <w:p w14:paraId="72683EB8">
            <w:pPr>
              <w:spacing w:before="0" w:after="0" w:line="252" w:lineRule="auto"/>
              <w:jc w:val="center"/>
            </w:pPr>
            <w:r>
              <w:rPr>
                <w:rFonts w:ascii="Times New Roman" w:hAnsi="Times New Roman" w:eastAsia="思源黑体" w:cs="Times New Roman"/>
                <w:sz w:val="16"/>
                <w:szCs w:val="16"/>
              </w:rPr>
              <w:t>桥梁养护≥10座，其中特大桥≥1、大桥修复≥2；或中桥修复≥10座；质量合格</w:t>
            </w:r>
          </w:p>
        </w:tc>
        <w:tc>
          <w:tcPr>
            <w:tcW w:w="3072" w:type="dxa"/>
            <w:vAlign w:val="center"/>
          </w:tcPr>
          <w:p w14:paraId="4CB069DC">
            <w:pPr>
              <w:spacing w:before="0" w:after="0" w:line="252" w:lineRule="auto"/>
              <w:jc w:val="center"/>
            </w:pPr>
            <w:r>
              <w:rPr>
                <w:rFonts w:ascii="Times New Roman" w:hAnsi="Times New Roman" w:eastAsia="思源黑体" w:cs="Times New Roman"/>
                <w:sz w:val="16"/>
                <w:szCs w:val="16"/>
              </w:rPr>
              <w:t>高空作业车、防撞缓冲车、混凝土破碎机、钢筋加工等</w:t>
            </w:r>
          </w:p>
        </w:tc>
      </w:tr>
      <w:tr w14:paraId="36AF477F">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700" w:type="dxa"/>
            <w:vAlign w:val="center"/>
          </w:tcPr>
          <w:p w14:paraId="3BD0F79A">
            <w:pPr>
              <w:spacing w:before="0" w:after="0" w:line="252" w:lineRule="auto"/>
              <w:jc w:val="center"/>
            </w:pPr>
            <w:r>
              <w:rPr>
                <w:rFonts w:ascii="Times New Roman" w:hAnsi="Times New Roman" w:eastAsia="思源黑体" w:cs="Times New Roman"/>
                <w:sz w:val="16"/>
                <w:szCs w:val="16"/>
              </w:rPr>
              <w:t>桥梁</w:t>
            </w:r>
          </w:p>
        </w:tc>
        <w:tc>
          <w:tcPr>
            <w:tcW w:w="640" w:type="dxa"/>
            <w:vAlign w:val="center"/>
          </w:tcPr>
          <w:p w14:paraId="3D5C90A3">
            <w:pPr>
              <w:spacing w:before="0" w:after="0" w:line="252" w:lineRule="auto"/>
              <w:jc w:val="center"/>
            </w:pPr>
            <w:r>
              <w:rPr>
                <w:rFonts w:ascii="Times New Roman" w:hAnsi="Times New Roman" w:eastAsia="思源黑体" w:cs="Times New Roman"/>
                <w:sz w:val="16"/>
                <w:szCs w:val="16"/>
              </w:rPr>
              <w:t>乙级</w:t>
            </w:r>
          </w:p>
        </w:tc>
        <w:tc>
          <w:tcPr>
            <w:tcW w:w="940" w:type="dxa"/>
            <w:vAlign w:val="center"/>
          </w:tcPr>
          <w:p w14:paraId="210CFF3F">
            <w:pPr>
              <w:spacing w:before="0" w:after="0" w:line="252" w:lineRule="auto"/>
              <w:jc w:val="center"/>
            </w:pPr>
            <w:r>
              <w:rPr>
                <w:rFonts w:ascii="Times New Roman" w:hAnsi="Times New Roman" w:eastAsia="思源黑体" w:cs="Times New Roman"/>
                <w:sz w:val="16"/>
                <w:szCs w:val="16"/>
              </w:rPr>
              <w:t>≥6年</w:t>
            </w:r>
          </w:p>
        </w:tc>
        <w:tc>
          <w:tcPr>
            <w:tcW w:w="560" w:type="dxa"/>
            <w:vAlign w:val="center"/>
          </w:tcPr>
          <w:p w14:paraId="6A8E2B02">
            <w:pPr>
              <w:spacing w:before="0" w:after="0" w:line="252" w:lineRule="auto"/>
              <w:jc w:val="center"/>
            </w:pPr>
            <w:r>
              <w:rPr>
                <w:rFonts w:ascii="Times New Roman" w:hAnsi="Times New Roman" w:eastAsia="思源黑体" w:cs="Times New Roman"/>
                <w:sz w:val="16"/>
                <w:szCs w:val="16"/>
              </w:rPr>
              <w:t>高级</w:t>
            </w:r>
          </w:p>
        </w:tc>
        <w:tc>
          <w:tcPr>
            <w:tcW w:w="2200" w:type="dxa"/>
            <w:vAlign w:val="center"/>
          </w:tcPr>
          <w:p w14:paraId="69F94B52">
            <w:pPr>
              <w:spacing w:before="0" w:after="0" w:line="252" w:lineRule="auto"/>
              <w:jc w:val="center"/>
            </w:pPr>
            <w:r>
              <w:rPr>
                <w:rFonts w:ascii="Times New Roman" w:hAnsi="Times New Roman" w:eastAsia="思源黑体" w:cs="Times New Roman"/>
                <w:sz w:val="16"/>
                <w:szCs w:val="16"/>
              </w:rPr>
              <w:t>①大桥及以上预防养护≥1座、中桥及以上修复养护≥1座</w:t>
            </w:r>
            <w:r>
              <w:rPr>
                <w:rFonts w:ascii="Times New Roman" w:hAnsi="Times New Roman" w:eastAsia="思源黑体" w:cs="Times New Roman"/>
                <w:sz w:val="16"/>
                <w:szCs w:val="16"/>
              </w:rPr>
              <w:br w:type="textWrapping"/>
            </w:r>
            <w:r>
              <w:rPr>
                <w:rFonts w:ascii="Times New Roman" w:hAnsi="Times New Roman" w:eastAsia="思源黑体" w:cs="Times New Roman"/>
                <w:sz w:val="16"/>
                <w:szCs w:val="16"/>
              </w:rPr>
              <w:t>②质量合格</w:t>
            </w:r>
          </w:p>
        </w:tc>
        <w:tc>
          <w:tcPr>
            <w:tcW w:w="960" w:type="dxa"/>
            <w:vAlign w:val="center"/>
          </w:tcPr>
          <w:p w14:paraId="324AA2CF">
            <w:pPr>
              <w:spacing w:before="0" w:after="0" w:line="252" w:lineRule="auto"/>
              <w:jc w:val="center"/>
            </w:pPr>
            <w:r>
              <w:rPr>
                <w:rFonts w:ascii="Times New Roman" w:hAnsi="Times New Roman" w:eastAsia="思源黑体" w:cs="Times New Roman"/>
                <w:sz w:val="16"/>
                <w:szCs w:val="16"/>
              </w:rPr>
              <w:t>二级及以上≥2</w:t>
            </w:r>
          </w:p>
        </w:tc>
        <w:tc>
          <w:tcPr>
            <w:tcW w:w="900" w:type="dxa"/>
            <w:vAlign w:val="center"/>
          </w:tcPr>
          <w:p w14:paraId="5E0409D3">
            <w:pPr>
              <w:spacing w:before="0" w:after="0" w:line="252" w:lineRule="auto"/>
              <w:jc w:val="center"/>
            </w:pPr>
            <w:r>
              <w:rPr>
                <w:rFonts w:ascii="Times New Roman" w:hAnsi="Times New Roman" w:eastAsia="思源黑体" w:cs="Times New Roman"/>
                <w:sz w:val="16"/>
                <w:szCs w:val="16"/>
              </w:rPr>
              <w:t>≥5</w:t>
            </w:r>
          </w:p>
        </w:tc>
        <w:tc>
          <w:tcPr>
            <w:tcW w:w="640" w:type="dxa"/>
            <w:vAlign w:val="center"/>
          </w:tcPr>
          <w:p w14:paraId="074099CF">
            <w:pPr>
              <w:spacing w:before="0" w:after="0" w:line="252" w:lineRule="auto"/>
              <w:jc w:val="center"/>
            </w:pPr>
            <w:r>
              <w:rPr>
                <w:rFonts w:ascii="Times New Roman" w:hAnsi="Times New Roman" w:eastAsia="思源黑体" w:cs="Times New Roman"/>
                <w:sz w:val="16"/>
                <w:szCs w:val="16"/>
              </w:rPr>
              <w:t>≥1</w:t>
            </w:r>
          </w:p>
        </w:tc>
        <w:tc>
          <w:tcPr>
            <w:tcW w:w="860" w:type="dxa"/>
            <w:vAlign w:val="center"/>
          </w:tcPr>
          <w:p w14:paraId="160D3160">
            <w:pPr>
              <w:spacing w:before="0" w:after="0" w:line="252" w:lineRule="auto"/>
              <w:jc w:val="center"/>
            </w:pPr>
            <w:r>
              <w:rPr>
                <w:rFonts w:ascii="Times New Roman" w:hAnsi="Times New Roman" w:eastAsia="思源黑体" w:cs="Times New Roman"/>
                <w:sz w:val="16"/>
                <w:szCs w:val="16"/>
              </w:rPr>
              <w:t>—</w:t>
            </w:r>
          </w:p>
        </w:tc>
        <w:tc>
          <w:tcPr>
            <w:tcW w:w="620" w:type="dxa"/>
            <w:vAlign w:val="center"/>
          </w:tcPr>
          <w:p w14:paraId="1D2782AA">
            <w:pPr>
              <w:spacing w:before="0" w:after="0" w:line="252" w:lineRule="auto"/>
              <w:jc w:val="center"/>
            </w:pPr>
            <w:r>
              <w:rPr>
                <w:rFonts w:ascii="Times New Roman" w:hAnsi="Times New Roman" w:eastAsia="思源黑体" w:cs="Times New Roman"/>
                <w:sz w:val="16"/>
                <w:szCs w:val="16"/>
              </w:rPr>
              <w:t>≥10</w:t>
            </w:r>
          </w:p>
        </w:tc>
        <w:tc>
          <w:tcPr>
            <w:tcW w:w="640" w:type="dxa"/>
            <w:vAlign w:val="center"/>
          </w:tcPr>
          <w:p w14:paraId="16C38F96">
            <w:pPr>
              <w:spacing w:before="0" w:after="0" w:line="252" w:lineRule="auto"/>
              <w:jc w:val="center"/>
            </w:pPr>
            <w:r>
              <w:rPr>
                <w:rFonts w:ascii="Times New Roman" w:hAnsi="Times New Roman" w:eastAsia="思源黑体" w:cs="Times New Roman"/>
                <w:sz w:val="16"/>
                <w:szCs w:val="16"/>
              </w:rPr>
              <w:t>≥5（高级工≥2）</w:t>
            </w:r>
          </w:p>
        </w:tc>
        <w:tc>
          <w:tcPr>
            <w:tcW w:w="620" w:type="dxa"/>
            <w:vAlign w:val="center"/>
          </w:tcPr>
          <w:p w14:paraId="46A44AB6">
            <w:pPr>
              <w:spacing w:before="0" w:after="0" w:line="252" w:lineRule="auto"/>
              <w:jc w:val="center"/>
            </w:pPr>
            <w:r>
              <w:rPr>
                <w:rFonts w:ascii="Times New Roman" w:hAnsi="Times New Roman" w:eastAsia="思源黑体" w:cs="Times New Roman"/>
                <w:sz w:val="16"/>
                <w:szCs w:val="16"/>
              </w:rPr>
              <w:t>≥10</w:t>
            </w:r>
          </w:p>
        </w:tc>
        <w:tc>
          <w:tcPr>
            <w:tcW w:w="800" w:type="dxa"/>
            <w:vAlign w:val="center"/>
          </w:tcPr>
          <w:p w14:paraId="39235443">
            <w:pPr>
              <w:spacing w:before="0" w:after="0" w:line="252" w:lineRule="auto"/>
              <w:jc w:val="center"/>
            </w:pPr>
            <w:r>
              <w:rPr>
                <w:rFonts w:ascii="Times New Roman" w:hAnsi="Times New Roman" w:eastAsia="思源黑体" w:cs="Times New Roman"/>
                <w:sz w:val="16"/>
                <w:szCs w:val="16"/>
              </w:rPr>
              <w:t>≥800万</w:t>
            </w:r>
          </w:p>
        </w:tc>
        <w:tc>
          <w:tcPr>
            <w:tcW w:w="560" w:type="dxa"/>
            <w:vAlign w:val="center"/>
          </w:tcPr>
          <w:p w14:paraId="6326556D">
            <w:pPr>
              <w:spacing w:before="0" w:after="0" w:line="252" w:lineRule="auto"/>
              <w:jc w:val="center"/>
            </w:pPr>
            <w:r>
              <w:rPr>
                <w:rFonts w:ascii="Times New Roman" w:hAnsi="Times New Roman" w:eastAsia="思源黑体" w:cs="Times New Roman"/>
                <w:sz w:val="16"/>
                <w:szCs w:val="16"/>
              </w:rPr>
              <w:t>良好</w:t>
            </w:r>
          </w:p>
        </w:tc>
        <w:tc>
          <w:tcPr>
            <w:tcW w:w="1688" w:type="dxa"/>
            <w:vAlign w:val="center"/>
          </w:tcPr>
          <w:p w14:paraId="248ABF38">
            <w:pPr>
              <w:spacing w:before="0" w:after="0" w:line="252" w:lineRule="auto"/>
              <w:jc w:val="center"/>
            </w:pPr>
            <w:r>
              <w:rPr>
                <w:rFonts w:ascii="Times New Roman" w:hAnsi="Times New Roman" w:eastAsia="思源黑体" w:cs="Times New Roman"/>
                <w:sz w:val="16"/>
                <w:szCs w:val="16"/>
              </w:rPr>
              <w:t>／</w:t>
            </w:r>
          </w:p>
        </w:tc>
        <w:tc>
          <w:tcPr>
            <w:tcW w:w="3072" w:type="dxa"/>
            <w:vAlign w:val="center"/>
          </w:tcPr>
          <w:p w14:paraId="64E056F1">
            <w:pPr>
              <w:spacing w:before="0" w:after="0" w:line="252" w:lineRule="auto"/>
              <w:jc w:val="center"/>
            </w:pPr>
            <w:r>
              <w:rPr>
                <w:rFonts w:ascii="Times New Roman" w:hAnsi="Times New Roman" w:eastAsia="思源黑体" w:cs="Times New Roman"/>
                <w:sz w:val="16"/>
                <w:szCs w:val="16"/>
              </w:rPr>
              <w:t>高空作业车、防撞缓冲车、混凝土破碎机等</w:t>
            </w:r>
          </w:p>
        </w:tc>
      </w:tr>
      <w:tr w14:paraId="7CCE3959">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700" w:type="dxa"/>
            <w:vAlign w:val="center"/>
          </w:tcPr>
          <w:p w14:paraId="20E7940D">
            <w:pPr>
              <w:spacing w:before="0" w:after="0" w:line="252" w:lineRule="auto"/>
              <w:jc w:val="center"/>
            </w:pPr>
            <w:r>
              <w:rPr>
                <w:rFonts w:ascii="Times New Roman" w:hAnsi="Times New Roman" w:eastAsia="思源黑体" w:cs="Times New Roman"/>
                <w:sz w:val="16"/>
                <w:szCs w:val="16"/>
              </w:rPr>
              <w:t>隧道</w:t>
            </w:r>
          </w:p>
        </w:tc>
        <w:tc>
          <w:tcPr>
            <w:tcW w:w="640" w:type="dxa"/>
            <w:vAlign w:val="center"/>
          </w:tcPr>
          <w:p w14:paraId="42FF4179">
            <w:pPr>
              <w:spacing w:before="0" w:after="0" w:line="252" w:lineRule="auto"/>
              <w:jc w:val="center"/>
            </w:pPr>
            <w:r>
              <w:rPr>
                <w:rFonts w:ascii="Times New Roman" w:hAnsi="Times New Roman" w:eastAsia="思源黑体" w:cs="Times New Roman"/>
                <w:sz w:val="16"/>
                <w:szCs w:val="16"/>
              </w:rPr>
              <w:t>甲级</w:t>
            </w:r>
          </w:p>
        </w:tc>
        <w:tc>
          <w:tcPr>
            <w:tcW w:w="940" w:type="dxa"/>
            <w:vAlign w:val="center"/>
          </w:tcPr>
          <w:p w14:paraId="564B0BDE">
            <w:pPr>
              <w:spacing w:before="0" w:after="0" w:line="252" w:lineRule="auto"/>
              <w:jc w:val="center"/>
            </w:pPr>
            <w:r>
              <w:rPr>
                <w:rFonts w:ascii="Times New Roman" w:hAnsi="Times New Roman" w:eastAsia="思源黑体" w:cs="Times New Roman"/>
                <w:sz w:val="16"/>
                <w:szCs w:val="16"/>
              </w:rPr>
              <w:t>≥10年</w:t>
            </w:r>
          </w:p>
        </w:tc>
        <w:tc>
          <w:tcPr>
            <w:tcW w:w="560" w:type="dxa"/>
            <w:vAlign w:val="center"/>
          </w:tcPr>
          <w:p w14:paraId="66B9CDB4">
            <w:pPr>
              <w:spacing w:before="0" w:after="0" w:line="252" w:lineRule="auto"/>
              <w:jc w:val="center"/>
            </w:pPr>
            <w:r>
              <w:rPr>
                <w:rFonts w:ascii="Times New Roman" w:hAnsi="Times New Roman" w:eastAsia="思源黑体" w:cs="Times New Roman"/>
                <w:sz w:val="16"/>
                <w:szCs w:val="16"/>
              </w:rPr>
              <w:t>高级</w:t>
            </w:r>
          </w:p>
        </w:tc>
        <w:tc>
          <w:tcPr>
            <w:tcW w:w="2200" w:type="dxa"/>
            <w:vAlign w:val="center"/>
          </w:tcPr>
          <w:p w14:paraId="17B125DB">
            <w:pPr>
              <w:spacing w:before="0" w:after="0" w:line="252" w:lineRule="auto"/>
              <w:jc w:val="center"/>
            </w:pPr>
            <w:r>
              <w:rPr>
                <w:rFonts w:ascii="Times New Roman" w:hAnsi="Times New Roman" w:eastAsia="思源黑体" w:cs="Times New Roman"/>
                <w:sz w:val="16"/>
                <w:szCs w:val="16"/>
              </w:rPr>
              <w:t>①土建结构修复养护≥2座，其中长或特长≥1</w:t>
            </w:r>
            <w:r>
              <w:rPr>
                <w:rFonts w:ascii="Times New Roman" w:hAnsi="Times New Roman" w:eastAsia="思源黑体" w:cs="Times New Roman"/>
                <w:sz w:val="16"/>
                <w:szCs w:val="16"/>
              </w:rPr>
              <w:br w:type="textWrapping"/>
            </w:r>
            <w:r>
              <w:rPr>
                <w:rFonts w:ascii="Times New Roman" w:hAnsi="Times New Roman" w:eastAsia="思源黑体" w:cs="Times New Roman"/>
                <w:sz w:val="16"/>
                <w:szCs w:val="16"/>
              </w:rPr>
              <w:t>②质量合格</w:t>
            </w:r>
          </w:p>
        </w:tc>
        <w:tc>
          <w:tcPr>
            <w:tcW w:w="960" w:type="dxa"/>
            <w:vAlign w:val="center"/>
          </w:tcPr>
          <w:p w14:paraId="1B609D9C">
            <w:pPr>
              <w:spacing w:before="0" w:after="0" w:line="252" w:lineRule="auto"/>
              <w:jc w:val="center"/>
            </w:pPr>
            <w:r>
              <w:rPr>
                <w:rFonts w:ascii="Times New Roman" w:hAnsi="Times New Roman" w:eastAsia="思源黑体" w:cs="Times New Roman"/>
                <w:sz w:val="16"/>
                <w:szCs w:val="16"/>
              </w:rPr>
              <w:t>一级≥1</w:t>
            </w:r>
          </w:p>
        </w:tc>
        <w:tc>
          <w:tcPr>
            <w:tcW w:w="900" w:type="dxa"/>
            <w:vAlign w:val="center"/>
          </w:tcPr>
          <w:p w14:paraId="1E2120C8">
            <w:pPr>
              <w:spacing w:before="0" w:after="0" w:line="252" w:lineRule="auto"/>
              <w:jc w:val="center"/>
            </w:pPr>
            <w:r>
              <w:rPr>
                <w:rFonts w:ascii="Times New Roman" w:hAnsi="Times New Roman" w:eastAsia="思源黑体" w:cs="Times New Roman"/>
                <w:sz w:val="16"/>
                <w:szCs w:val="16"/>
              </w:rPr>
              <w:t>≥8（高级≥2）</w:t>
            </w:r>
          </w:p>
        </w:tc>
        <w:tc>
          <w:tcPr>
            <w:tcW w:w="640" w:type="dxa"/>
            <w:vAlign w:val="center"/>
          </w:tcPr>
          <w:p w14:paraId="0085C949">
            <w:pPr>
              <w:spacing w:before="0" w:after="0" w:line="252" w:lineRule="auto"/>
              <w:jc w:val="center"/>
            </w:pPr>
            <w:r>
              <w:rPr>
                <w:rFonts w:ascii="Times New Roman" w:hAnsi="Times New Roman" w:eastAsia="思源黑体" w:cs="Times New Roman"/>
                <w:sz w:val="16"/>
                <w:szCs w:val="16"/>
              </w:rPr>
              <w:t>≥1</w:t>
            </w:r>
          </w:p>
        </w:tc>
        <w:tc>
          <w:tcPr>
            <w:tcW w:w="860" w:type="dxa"/>
            <w:vAlign w:val="center"/>
          </w:tcPr>
          <w:p w14:paraId="52CBA6F5">
            <w:pPr>
              <w:spacing w:before="0" w:after="0" w:line="252" w:lineRule="auto"/>
              <w:jc w:val="center"/>
            </w:pPr>
            <w:r>
              <w:rPr>
                <w:rFonts w:ascii="Times New Roman" w:hAnsi="Times New Roman" w:eastAsia="思源黑体" w:cs="Times New Roman"/>
                <w:sz w:val="16"/>
                <w:szCs w:val="16"/>
              </w:rPr>
              <w:t>≥1</w:t>
            </w:r>
          </w:p>
        </w:tc>
        <w:tc>
          <w:tcPr>
            <w:tcW w:w="620" w:type="dxa"/>
            <w:vAlign w:val="center"/>
          </w:tcPr>
          <w:p w14:paraId="3485D8B7">
            <w:pPr>
              <w:spacing w:before="0" w:after="0" w:line="252" w:lineRule="auto"/>
              <w:jc w:val="center"/>
            </w:pPr>
            <w:r>
              <w:rPr>
                <w:rFonts w:ascii="Times New Roman" w:hAnsi="Times New Roman" w:eastAsia="思源黑体" w:cs="Times New Roman"/>
                <w:sz w:val="16"/>
                <w:szCs w:val="16"/>
              </w:rPr>
              <w:t>≥15</w:t>
            </w:r>
          </w:p>
        </w:tc>
        <w:tc>
          <w:tcPr>
            <w:tcW w:w="640" w:type="dxa"/>
            <w:vAlign w:val="center"/>
          </w:tcPr>
          <w:p w14:paraId="11C105CB">
            <w:pPr>
              <w:spacing w:before="0" w:after="0" w:line="252" w:lineRule="auto"/>
              <w:jc w:val="center"/>
            </w:pPr>
            <w:r>
              <w:rPr>
                <w:rFonts w:ascii="Times New Roman" w:hAnsi="Times New Roman" w:eastAsia="思源黑体" w:cs="Times New Roman"/>
                <w:sz w:val="16"/>
                <w:szCs w:val="16"/>
              </w:rPr>
              <w:t>≥12（高级工≥4）</w:t>
            </w:r>
          </w:p>
        </w:tc>
        <w:tc>
          <w:tcPr>
            <w:tcW w:w="620" w:type="dxa"/>
            <w:vAlign w:val="center"/>
          </w:tcPr>
          <w:p w14:paraId="7BFAE6E2">
            <w:pPr>
              <w:spacing w:before="0" w:after="0" w:line="252" w:lineRule="auto"/>
              <w:jc w:val="center"/>
            </w:pPr>
            <w:r>
              <w:rPr>
                <w:rFonts w:ascii="Times New Roman" w:hAnsi="Times New Roman" w:eastAsia="思源黑体" w:cs="Times New Roman"/>
                <w:sz w:val="16"/>
                <w:szCs w:val="16"/>
              </w:rPr>
              <w:t>≥20</w:t>
            </w:r>
          </w:p>
        </w:tc>
        <w:tc>
          <w:tcPr>
            <w:tcW w:w="800" w:type="dxa"/>
            <w:vAlign w:val="center"/>
          </w:tcPr>
          <w:p w14:paraId="351E2D7A">
            <w:pPr>
              <w:spacing w:before="0" w:after="0" w:line="252" w:lineRule="auto"/>
              <w:jc w:val="center"/>
            </w:pPr>
            <w:r>
              <w:rPr>
                <w:rFonts w:ascii="Times New Roman" w:hAnsi="Times New Roman" w:eastAsia="思源黑体" w:cs="Times New Roman"/>
                <w:sz w:val="16"/>
                <w:szCs w:val="16"/>
              </w:rPr>
              <w:t>≥2000万</w:t>
            </w:r>
          </w:p>
        </w:tc>
        <w:tc>
          <w:tcPr>
            <w:tcW w:w="560" w:type="dxa"/>
            <w:vAlign w:val="center"/>
          </w:tcPr>
          <w:p w14:paraId="1A52A118">
            <w:pPr>
              <w:spacing w:before="0" w:after="0" w:line="252" w:lineRule="auto"/>
              <w:jc w:val="center"/>
            </w:pPr>
            <w:r>
              <w:rPr>
                <w:rFonts w:ascii="Times New Roman" w:hAnsi="Times New Roman" w:eastAsia="思源黑体" w:cs="Times New Roman"/>
                <w:sz w:val="16"/>
                <w:szCs w:val="16"/>
              </w:rPr>
              <w:t>良好</w:t>
            </w:r>
          </w:p>
        </w:tc>
        <w:tc>
          <w:tcPr>
            <w:tcW w:w="1688" w:type="dxa"/>
            <w:vAlign w:val="center"/>
          </w:tcPr>
          <w:p w14:paraId="3F2BAC2A">
            <w:pPr>
              <w:spacing w:before="0" w:after="0" w:line="252" w:lineRule="auto"/>
              <w:jc w:val="center"/>
            </w:pPr>
            <w:r>
              <w:rPr>
                <w:rFonts w:ascii="Times New Roman" w:hAnsi="Times New Roman" w:eastAsia="思源黑体" w:cs="Times New Roman"/>
                <w:sz w:val="16"/>
                <w:szCs w:val="16"/>
              </w:rPr>
              <w:t>土建养护≥6座，其中长或特长≥1、中隧道修复≥3；或短隧道修复≥6座；质量合格</w:t>
            </w:r>
          </w:p>
        </w:tc>
        <w:tc>
          <w:tcPr>
            <w:tcW w:w="3072" w:type="dxa"/>
            <w:vAlign w:val="center"/>
          </w:tcPr>
          <w:p w14:paraId="731E0C6D">
            <w:pPr>
              <w:spacing w:before="0" w:after="0" w:line="252" w:lineRule="auto"/>
              <w:jc w:val="center"/>
            </w:pPr>
            <w:r>
              <w:rPr>
                <w:rFonts w:ascii="Times New Roman" w:hAnsi="Times New Roman" w:eastAsia="思源黑体" w:cs="Times New Roman"/>
                <w:sz w:val="16"/>
                <w:szCs w:val="16"/>
              </w:rPr>
              <w:t>高空作业设备、防撞缓冲车、混凝土破碎机、锚杆机、混凝土湿喷机等</w:t>
            </w:r>
          </w:p>
        </w:tc>
      </w:tr>
      <w:tr w14:paraId="6252C7BF">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700" w:type="dxa"/>
            <w:vAlign w:val="center"/>
          </w:tcPr>
          <w:p w14:paraId="050A9117">
            <w:pPr>
              <w:spacing w:before="0" w:after="0" w:line="252" w:lineRule="auto"/>
              <w:jc w:val="center"/>
            </w:pPr>
            <w:r>
              <w:rPr>
                <w:rFonts w:ascii="Times New Roman" w:hAnsi="Times New Roman" w:eastAsia="思源黑体" w:cs="Times New Roman"/>
                <w:sz w:val="16"/>
                <w:szCs w:val="16"/>
              </w:rPr>
              <w:t>隧道</w:t>
            </w:r>
          </w:p>
        </w:tc>
        <w:tc>
          <w:tcPr>
            <w:tcW w:w="640" w:type="dxa"/>
            <w:vAlign w:val="center"/>
          </w:tcPr>
          <w:p w14:paraId="0D3BA174">
            <w:pPr>
              <w:spacing w:before="0" w:after="0" w:line="252" w:lineRule="auto"/>
              <w:jc w:val="center"/>
            </w:pPr>
            <w:r>
              <w:rPr>
                <w:rFonts w:ascii="Times New Roman" w:hAnsi="Times New Roman" w:eastAsia="思源黑体" w:cs="Times New Roman"/>
                <w:sz w:val="16"/>
                <w:szCs w:val="16"/>
              </w:rPr>
              <w:t>乙级</w:t>
            </w:r>
          </w:p>
        </w:tc>
        <w:tc>
          <w:tcPr>
            <w:tcW w:w="940" w:type="dxa"/>
            <w:vAlign w:val="center"/>
          </w:tcPr>
          <w:p w14:paraId="5204E9F8">
            <w:pPr>
              <w:spacing w:before="0" w:after="0" w:line="252" w:lineRule="auto"/>
              <w:jc w:val="center"/>
            </w:pPr>
            <w:r>
              <w:rPr>
                <w:rFonts w:ascii="Times New Roman" w:hAnsi="Times New Roman" w:eastAsia="思源黑体" w:cs="Times New Roman"/>
                <w:sz w:val="16"/>
                <w:szCs w:val="16"/>
              </w:rPr>
              <w:t>≥6年</w:t>
            </w:r>
          </w:p>
        </w:tc>
        <w:tc>
          <w:tcPr>
            <w:tcW w:w="560" w:type="dxa"/>
            <w:vAlign w:val="center"/>
          </w:tcPr>
          <w:p w14:paraId="3FACD29A">
            <w:pPr>
              <w:spacing w:before="0" w:after="0" w:line="252" w:lineRule="auto"/>
              <w:jc w:val="center"/>
            </w:pPr>
            <w:r>
              <w:rPr>
                <w:rFonts w:ascii="Times New Roman" w:hAnsi="Times New Roman" w:eastAsia="思源黑体" w:cs="Times New Roman"/>
                <w:sz w:val="16"/>
                <w:szCs w:val="16"/>
              </w:rPr>
              <w:t>高级</w:t>
            </w:r>
          </w:p>
        </w:tc>
        <w:tc>
          <w:tcPr>
            <w:tcW w:w="2200" w:type="dxa"/>
            <w:vAlign w:val="center"/>
          </w:tcPr>
          <w:p w14:paraId="03474C8C">
            <w:pPr>
              <w:spacing w:before="0" w:after="0" w:line="252" w:lineRule="auto"/>
              <w:jc w:val="center"/>
            </w:pPr>
            <w:r>
              <w:rPr>
                <w:rFonts w:ascii="Times New Roman" w:hAnsi="Times New Roman" w:eastAsia="思源黑体" w:cs="Times New Roman"/>
                <w:sz w:val="16"/>
                <w:szCs w:val="16"/>
              </w:rPr>
              <w:t>①长隧道及以上养护≥1座、中隧道及以上修复养护≥1座</w:t>
            </w:r>
            <w:r>
              <w:rPr>
                <w:rFonts w:ascii="Times New Roman" w:hAnsi="Times New Roman" w:eastAsia="思源黑体" w:cs="Times New Roman"/>
                <w:sz w:val="16"/>
                <w:szCs w:val="16"/>
              </w:rPr>
              <w:br w:type="textWrapping"/>
            </w:r>
            <w:r>
              <w:rPr>
                <w:rFonts w:ascii="Times New Roman" w:hAnsi="Times New Roman" w:eastAsia="思源黑体" w:cs="Times New Roman"/>
                <w:sz w:val="16"/>
                <w:szCs w:val="16"/>
              </w:rPr>
              <w:t>②质量合格</w:t>
            </w:r>
          </w:p>
        </w:tc>
        <w:tc>
          <w:tcPr>
            <w:tcW w:w="960" w:type="dxa"/>
            <w:vAlign w:val="center"/>
          </w:tcPr>
          <w:p w14:paraId="15750073">
            <w:pPr>
              <w:spacing w:before="0" w:after="0" w:line="252" w:lineRule="auto"/>
              <w:jc w:val="center"/>
            </w:pPr>
            <w:r>
              <w:rPr>
                <w:rFonts w:ascii="Times New Roman" w:hAnsi="Times New Roman" w:eastAsia="思源黑体" w:cs="Times New Roman"/>
                <w:sz w:val="16"/>
                <w:szCs w:val="16"/>
              </w:rPr>
              <w:t>二级及以上≥3</w:t>
            </w:r>
          </w:p>
        </w:tc>
        <w:tc>
          <w:tcPr>
            <w:tcW w:w="900" w:type="dxa"/>
            <w:vAlign w:val="center"/>
          </w:tcPr>
          <w:p w14:paraId="3C993C6B">
            <w:pPr>
              <w:spacing w:before="0" w:after="0" w:line="252" w:lineRule="auto"/>
              <w:jc w:val="center"/>
            </w:pPr>
            <w:r>
              <w:rPr>
                <w:rFonts w:ascii="Times New Roman" w:hAnsi="Times New Roman" w:eastAsia="思源黑体" w:cs="Times New Roman"/>
                <w:sz w:val="16"/>
                <w:szCs w:val="16"/>
              </w:rPr>
              <w:t>≥5</w:t>
            </w:r>
          </w:p>
        </w:tc>
        <w:tc>
          <w:tcPr>
            <w:tcW w:w="640" w:type="dxa"/>
            <w:vAlign w:val="center"/>
          </w:tcPr>
          <w:p w14:paraId="0C63E041">
            <w:pPr>
              <w:spacing w:before="0" w:after="0" w:line="252" w:lineRule="auto"/>
              <w:jc w:val="center"/>
            </w:pPr>
            <w:r>
              <w:rPr>
                <w:rFonts w:ascii="Times New Roman" w:hAnsi="Times New Roman" w:eastAsia="思源黑体" w:cs="Times New Roman"/>
                <w:sz w:val="16"/>
                <w:szCs w:val="16"/>
              </w:rPr>
              <w:t>≥1</w:t>
            </w:r>
          </w:p>
        </w:tc>
        <w:tc>
          <w:tcPr>
            <w:tcW w:w="860" w:type="dxa"/>
            <w:vAlign w:val="center"/>
          </w:tcPr>
          <w:p w14:paraId="7B33875D">
            <w:pPr>
              <w:spacing w:before="0" w:after="0" w:line="252" w:lineRule="auto"/>
              <w:jc w:val="center"/>
            </w:pPr>
            <w:r>
              <w:rPr>
                <w:rFonts w:ascii="Times New Roman" w:hAnsi="Times New Roman" w:eastAsia="思源黑体" w:cs="Times New Roman"/>
                <w:sz w:val="16"/>
                <w:szCs w:val="16"/>
              </w:rPr>
              <w:t>—</w:t>
            </w:r>
          </w:p>
        </w:tc>
        <w:tc>
          <w:tcPr>
            <w:tcW w:w="620" w:type="dxa"/>
            <w:vAlign w:val="center"/>
          </w:tcPr>
          <w:p w14:paraId="7E286657">
            <w:pPr>
              <w:spacing w:before="0" w:after="0" w:line="252" w:lineRule="auto"/>
              <w:jc w:val="center"/>
            </w:pPr>
            <w:r>
              <w:rPr>
                <w:rFonts w:ascii="Times New Roman" w:hAnsi="Times New Roman" w:eastAsia="思源黑体" w:cs="Times New Roman"/>
                <w:sz w:val="16"/>
                <w:szCs w:val="16"/>
              </w:rPr>
              <w:t>≥10</w:t>
            </w:r>
          </w:p>
        </w:tc>
        <w:tc>
          <w:tcPr>
            <w:tcW w:w="640" w:type="dxa"/>
            <w:vAlign w:val="center"/>
          </w:tcPr>
          <w:p w14:paraId="783EDC68">
            <w:pPr>
              <w:spacing w:before="0" w:after="0" w:line="252" w:lineRule="auto"/>
              <w:jc w:val="center"/>
            </w:pPr>
            <w:r>
              <w:rPr>
                <w:rFonts w:ascii="Times New Roman" w:hAnsi="Times New Roman" w:eastAsia="思源黑体" w:cs="Times New Roman"/>
                <w:sz w:val="16"/>
                <w:szCs w:val="16"/>
              </w:rPr>
              <w:t>≥5（高级工≥2）</w:t>
            </w:r>
          </w:p>
        </w:tc>
        <w:tc>
          <w:tcPr>
            <w:tcW w:w="620" w:type="dxa"/>
            <w:vAlign w:val="center"/>
          </w:tcPr>
          <w:p w14:paraId="7445BA9C">
            <w:pPr>
              <w:spacing w:before="0" w:after="0" w:line="252" w:lineRule="auto"/>
              <w:jc w:val="center"/>
            </w:pPr>
            <w:r>
              <w:rPr>
                <w:rFonts w:ascii="Times New Roman" w:hAnsi="Times New Roman" w:eastAsia="思源黑体" w:cs="Times New Roman"/>
                <w:sz w:val="16"/>
                <w:szCs w:val="16"/>
              </w:rPr>
              <w:t>≥10</w:t>
            </w:r>
          </w:p>
        </w:tc>
        <w:tc>
          <w:tcPr>
            <w:tcW w:w="800" w:type="dxa"/>
            <w:vAlign w:val="center"/>
          </w:tcPr>
          <w:p w14:paraId="22667FDE">
            <w:pPr>
              <w:spacing w:before="0" w:after="0" w:line="252" w:lineRule="auto"/>
              <w:jc w:val="center"/>
            </w:pPr>
            <w:r>
              <w:rPr>
                <w:rFonts w:ascii="Times New Roman" w:hAnsi="Times New Roman" w:eastAsia="思源黑体" w:cs="Times New Roman"/>
                <w:sz w:val="16"/>
                <w:szCs w:val="16"/>
              </w:rPr>
              <w:t>≥800万</w:t>
            </w:r>
          </w:p>
        </w:tc>
        <w:tc>
          <w:tcPr>
            <w:tcW w:w="560" w:type="dxa"/>
            <w:vAlign w:val="center"/>
          </w:tcPr>
          <w:p w14:paraId="28F3DE8D">
            <w:pPr>
              <w:spacing w:before="0" w:after="0" w:line="252" w:lineRule="auto"/>
              <w:jc w:val="center"/>
            </w:pPr>
            <w:r>
              <w:rPr>
                <w:rFonts w:ascii="Times New Roman" w:hAnsi="Times New Roman" w:eastAsia="思源黑体" w:cs="Times New Roman"/>
                <w:sz w:val="16"/>
                <w:szCs w:val="16"/>
              </w:rPr>
              <w:t>良好</w:t>
            </w:r>
          </w:p>
        </w:tc>
        <w:tc>
          <w:tcPr>
            <w:tcW w:w="1688" w:type="dxa"/>
            <w:vAlign w:val="center"/>
          </w:tcPr>
          <w:p w14:paraId="5E43AD20">
            <w:pPr>
              <w:spacing w:before="0" w:after="0" w:line="252" w:lineRule="auto"/>
              <w:jc w:val="center"/>
            </w:pPr>
            <w:r>
              <w:rPr>
                <w:rFonts w:ascii="Times New Roman" w:hAnsi="Times New Roman" w:eastAsia="思源黑体" w:cs="Times New Roman"/>
                <w:sz w:val="16"/>
                <w:szCs w:val="16"/>
              </w:rPr>
              <w:t>／</w:t>
            </w:r>
          </w:p>
        </w:tc>
        <w:tc>
          <w:tcPr>
            <w:tcW w:w="3072" w:type="dxa"/>
            <w:vAlign w:val="center"/>
          </w:tcPr>
          <w:p w14:paraId="5A1BB1E7">
            <w:pPr>
              <w:spacing w:before="0" w:after="0" w:line="252" w:lineRule="auto"/>
              <w:jc w:val="center"/>
            </w:pPr>
            <w:r>
              <w:rPr>
                <w:rFonts w:ascii="Times New Roman" w:hAnsi="Times New Roman" w:eastAsia="思源黑体" w:cs="Times New Roman"/>
                <w:sz w:val="16"/>
                <w:szCs w:val="16"/>
              </w:rPr>
              <w:t>高空作业设备、防撞缓冲车、混凝土破碎机、锚杆机等</w:t>
            </w:r>
          </w:p>
        </w:tc>
      </w:tr>
      <w:tr w14:paraId="0A890276">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700" w:type="dxa"/>
            <w:vAlign w:val="center"/>
          </w:tcPr>
          <w:p w14:paraId="199D50AA">
            <w:pPr>
              <w:spacing w:before="0" w:after="0" w:line="252" w:lineRule="auto"/>
              <w:jc w:val="center"/>
            </w:pPr>
            <w:r>
              <w:rPr>
                <w:rFonts w:ascii="Times New Roman" w:hAnsi="Times New Roman" w:eastAsia="思源黑体" w:cs="Times New Roman"/>
                <w:sz w:val="16"/>
                <w:szCs w:val="16"/>
              </w:rPr>
              <w:t>交安</w:t>
            </w:r>
          </w:p>
        </w:tc>
        <w:tc>
          <w:tcPr>
            <w:tcW w:w="640" w:type="dxa"/>
            <w:vAlign w:val="center"/>
          </w:tcPr>
          <w:p w14:paraId="313F8E20">
            <w:pPr>
              <w:spacing w:before="0" w:after="0" w:line="252" w:lineRule="auto"/>
              <w:jc w:val="center"/>
            </w:pPr>
            <w:r>
              <w:rPr>
                <w:rFonts w:ascii="Times New Roman" w:hAnsi="Times New Roman" w:eastAsia="思源黑体" w:cs="Times New Roman"/>
                <w:sz w:val="16"/>
                <w:szCs w:val="16"/>
              </w:rPr>
              <w:t>不分</w:t>
            </w:r>
            <w:r>
              <w:rPr>
                <w:rFonts w:ascii="Times New Roman" w:hAnsi="Times New Roman" w:eastAsia="思源黑体" w:cs="Times New Roman"/>
                <w:sz w:val="16"/>
                <w:szCs w:val="16"/>
              </w:rPr>
              <w:br w:type="textWrapping"/>
            </w:r>
            <w:r>
              <w:rPr>
                <w:rFonts w:ascii="Times New Roman" w:hAnsi="Times New Roman" w:eastAsia="思源黑体" w:cs="Times New Roman"/>
                <w:sz w:val="16"/>
                <w:szCs w:val="16"/>
              </w:rPr>
              <w:t>等级</w:t>
            </w:r>
          </w:p>
        </w:tc>
        <w:tc>
          <w:tcPr>
            <w:tcW w:w="940" w:type="dxa"/>
            <w:vAlign w:val="center"/>
          </w:tcPr>
          <w:p w14:paraId="01C65373">
            <w:pPr>
              <w:spacing w:before="0" w:after="0" w:line="252" w:lineRule="auto"/>
              <w:jc w:val="center"/>
            </w:pPr>
            <w:r>
              <w:rPr>
                <w:rFonts w:ascii="Times New Roman" w:hAnsi="Times New Roman" w:eastAsia="思源黑体" w:cs="Times New Roman"/>
                <w:sz w:val="16"/>
                <w:szCs w:val="16"/>
              </w:rPr>
              <w:t>≥10年</w:t>
            </w:r>
          </w:p>
        </w:tc>
        <w:tc>
          <w:tcPr>
            <w:tcW w:w="560" w:type="dxa"/>
            <w:vAlign w:val="center"/>
          </w:tcPr>
          <w:p w14:paraId="70424A0F">
            <w:pPr>
              <w:spacing w:before="0" w:after="0" w:line="252" w:lineRule="auto"/>
              <w:jc w:val="center"/>
            </w:pPr>
            <w:r>
              <w:rPr>
                <w:rFonts w:ascii="Times New Roman" w:hAnsi="Times New Roman" w:eastAsia="思源黑体" w:cs="Times New Roman"/>
                <w:sz w:val="16"/>
                <w:szCs w:val="16"/>
              </w:rPr>
              <w:t>高级</w:t>
            </w:r>
          </w:p>
        </w:tc>
        <w:tc>
          <w:tcPr>
            <w:tcW w:w="2200" w:type="dxa"/>
            <w:vAlign w:val="center"/>
          </w:tcPr>
          <w:p w14:paraId="3293D017">
            <w:pPr>
              <w:spacing w:before="0" w:after="0" w:line="252" w:lineRule="auto"/>
              <w:jc w:val="center"/>
            </w:pPr>
            <w:r>
              <w:rPr>
                <w:rFonts w:ascii="Times New Roman" w:hAnsi="Times New Roman" w:eastAsia="思源黑体" w:cs="Times New Roman"/>
                <w:sz w:val="16"/>
                <w:szCs w:val="16"/>
              </w:rPr>
              <w:t>①交安养护≥100km，其中一级及以上≥40km</w:t>
            </w:r>
            <w:r>
              <w:rPr>
                <w:rFonts w:ascii="Times New Roman" w:hAnsi="Times New Roman" w:eastAsia="思源黑体" w:cs="Times New Roman"/>
                <w:sz w:val="16"/>
                <w:szCs w:val="16"/>
              </w:rPr>
              <w:br w:type="textWrapping"/>
            </w:r>
            <w:r>
              <w:rPr>
                <w:rFonts w:ascii="Times New Roman" w:hAnsi="Times New Roman" w:eastAsia="思源黑体" w:cs="Times New Roman"/>
                <w:sz w:val="16"/>
                <w:szCs w:val="16"/>
              </w:rPr>
              <w:t>②质量合格</w:t>
            </w:r>
          </w:p>
        </w:tc>
        <w:tc>
          <w:tcPr>
            <w:tcW w:w="960" w:type="dxa"/>
            <w:vAlign w:val="center"/>
          </w:tcPr>
          <w:p w14:paraId="15BD9895">
            <w:pPr>
              <w:spacing w:before="0" w:after="0" w:line="252" w:lineRule="auto"/>
              <w:jc w:val="center"/>
            </w:pPr>
            <w:r>
              <w:rPr>
                <w:rFonts w:ascii="Times New Roman" w:hAnsi="Times New Roman" w:eastAsia="思源黑体" w:cs="Times New Roman"/>
                <w:sz w:val="16"/>
                <w:szCs w:val="16"/>
              </w:rPr>
              <w:t>二级及以上≥2</w:t>
            </w:r>
          </w:p>
        </w:tc>
        <w:tc>
          <w:tcPr>
            <w:tcW w:w="900" w:type="dxa"/>
            <w:vAlign w:val="center"/>
          </w:tcPr>
          <w:p w14:paraId="7852F490">
            <w:pPr>
              <w:spacing w:before="0" w:after="0" w:line="252" w:lineRule="auto"/>
              <w:jc w:val="center"/>
            </w:pPr>
            <w:r>
              <w:rPr>
                <w:rFonts w:ascii="Times New Roman" w:hAnsi="Times New Roman" w:eastAsia="思源黑体" w:cs="Times New Roman"/>
                <w:sz w:val="16"/>
                <w:szCs w:val="16"/>
              </w:rPr>
              <w:t>≥6</w:t>
            </w:r>
          </w:p>
        </w:tc>
        <w:tc>
          <w:tcPr>
            <w:tcW w:w="640" w:type="dxa"/>
            <w:vAlign w:val="center"/>
          </w:tcPr>
          <w:p w14:paraId="4EA6B114">
            <w:pPr>
              <w:spacing w:before="0" w:after="0" w:line="252" w:lineRule="auto"/>
              <w:jc w:val="center"/>
            </w:pPr>
            <w:r>
              <w:rPr>
                <w:rFonts w:ascii="Times New Roman" w:hAnsi="Times New Roman" w:eastAsia="思源黑体" w:cs="Times New Roman"/>
                <w:sz w:val="16"/>
                <w:szCs w:val="16"/>
              </w:rPr>
              <w:t>≥1</w:t>
            </w:r>
          </w:p>
        </w:tc>
        <w:tc>
          <w:tcPr>
            <w:tcW w:w="860" w:type="dxa"/>
            <w:vAlign w:val="center"/>
          </w:tcPr>
          <w:p w14:paraId="4ADBA1FC">
            <w:pPr>
              <w:spacing w:before="0" w:after="0" w:line="252" w:lineRule="auto"/>
              <w:jc w:val="center"/>
            </w:pPr>
            <w:r>
              <w:rPr>
                <w:rFonts w:ascii="Times New Roman" w:hAnsi="Times New Roman" w:eastAsia="思源黑体" w:cs="Times New Roman"/>
                <w:sz w:val="16"/>
                <w:szCs w:val="16"/>
              </w:rPr>
              <w:t>—</w:t>
            </w:r>
          </w:p>
        </w:tc>
        <w:tc>
          <w:tcPr>
            <w:tcW w:w="620" w:type="dxa"/>
            <w:vAlign w:val="center"/>
          </w:tcPr>
          <w:p w14:paraId="151ECA50">
            <w:pPr>
              <w:spacing w:before="0" w:after="0" w:line="252" w:lineRule="auto"/>
              <w:jc w:val="center"/>
            </w:pPr>
            <w:r>
              <w:rPr>
                <w:rFonts w:ascii="Times New Roman" w:hAnsi="Times New Roman" w:eastAsia="思源黑体" w:cs="Times New Roman"/>
                <w:sz w:val="16"/>
                <w:szCs w:val="16"/>
              </w:rPr>
              <w:t>≥10</w:t>
            </w:r>
          </w:p>
        </w:tc>
        <w:tc>
          <w:tcPr>
            <w:tcW w:w="640" w:type="dxa"/>
            <w:vAlign w:val="center"/>
          </w:tcPr>
          <w:p w14:paraId="79ED95D1">
            <w:pPr>
              <w:spacing w:before="0" w:after="0" w:line="252" w:lineRule="auto"/>
              <w:jc w:val="center"/>
            </w:pPr>
            <w:r>
              <w:rPr>
                <w:rFonts w:ascii="Times New Roman" w:hAnsi="Times New Roman" w:eastAsia="思源黑体" w:cs="Times New Roman"/>
                <w:sz w:val="16"/>
                <w:szCs w:val="16"/>
              </w:rPr>
              <w:t>≥5（高级工≥2）</w:t>
            </w:r>
          </w:p>
        </w:tc>
        <w:tc>
          <w:tcPr>
            <w:tcW w:w="620" w:type="dxa"/>
            <w:vAlign w:val="center"/>
          </w:tcPr>
          <w:p w14:paraId="157F5048">
            <w:pPr>
              <w:spacing w:before="0" w:after="0" w:line="252" w:lineRule="auto"/>
              <w:jc w:val="center"/>
            </w:pPr>
            <w:r>
              <w:rPr>
                <w:rFonts w:ascii="Times New Roman" w:hAnsi="Times New Roman" w:eastAsia="思源黑体" w:cs="Times New Roman"/>
                <w:sz w:val="16"/>
                <w:szCs w:val="16"/>
              </w:rPr>
              <w:t>≥10</w:t>
            </w:r>
          </w:p>
        </w:tc>
        <w:tc>
          <w:tcPr>
            <w:tcW w:w="800" w:type="dxa"/>
            <w:vAlign w:val="center"/>
          </w:tcPr>
          <w:p w14:paraId="40DCC677">
            <w:pPr>
              <w:spacing w:before="0" w:after="0" w:line="252" w:lineRule="auto"/>
              <w:jc w:val="center"/>
            </w:pPr>
            <w:r>
              <w:rPr>
                <w:rFonts w:ascii="Times New Roman" w:hAnsi="Times New Roman" w:eastAsia="思源黑体" w:cs="Times New Roman"/>
                <w:sz w:val="16"/>
                <w:szCs w:val="16"/>
              </w:rPr>
              <w:t>≥1500万</w:t>
            </w:r>
          </w:p>
        </w:tc>
        <w:tc>
          <w:tcPr>
            <w:tcW w:w="560" w:type="dxa"/>
            <w:vAlign w:val="center"/>
          </w:tcPr>
          <w:p w14:paraId="1DCEB260">
            <w:pPr>
              <w:spacing w:before="0" w:after="0" w:line="252" w:lineRule="auto"/>
              <w:jc w:val="center"/>
            </w:pPr>
            <w:r>
              <w:rPr>
                <w:rFonts w:ascii="Times New Roman" w:hAnsi="Times New Roman" w:eastAsia="思源黑体" w:cs="Times New Roman"/>
                <w:sz w:val="16"/>
                <w:szCs w:val="16"/>
              </w:rPr>
              <w:t>良好</w:t>
            </w:r>
          </w:p>
        </w:tc>
        <w:tc>
          <w:tcPr>
            <w:tcW w:w="1688" w:type="dxa"/>
            <w:vAlign w:val="center"/>
          </w:tcPr>
          <w:p w14:paraId="696127D8">
            <w:pPr>
              <w:spacing w:before="0" w:after="0" w:line="252" w:lineRule="auto"/>
              <w:jc w:val="center"/>
            </w:pPr>
            <w:r>
              <w:rPr>
                <w:rFonts w:ascii="Times New Roman" w:hAnsi="Times New Roman" w:eastAsia="思源黑体" w:cs="Times New Roman"/>
                <w:sz w:val="16"/>
                <w:szCs w:val="16"/>
              </w:rPr>
              <w:t>交安养护≥150km，其中一级≥50或二级≥100；质量合格</w:t>
            </w:r>
          </w:p>
        </w:tc>
        <w:tc>
          <w:tcPr>
            <w:tcW w:w="3072" w:type="dxa"/>
            <w:vAlign w:val="center"/>
          </w:tcPr>
          <w:p w14:paraId="3C13B454">
            <w:pPr>
              <w:spacing w:before="0" w:after="0" w:line="252" w:lineRule="auto"/>
              <w:jc w:val="center"/>
            </w:pPr>
            <w:r>
              <w:rPr>
                <w:rFonts w:ascii="Times New Roman" w:hAnsi="Times New Roman" w:eastAsia="思源黑体" w:cs="Times New Roman"/>
                <w:sz w:val="16"/>
                <w:szCs w:val="16"/>
              </w:rPr>
              <w:t>高空作业设备、防撞缓冲车、划线机、打桩机等</w:t>
            </w:r>
          </w:p>
        </w:tc>
      </w:tr>
    </w:tbl>
    <w:p w14:paraId="19383E1D">
      <w:pPr>
        <w:spacing w:after="60" w:line="336" w:lineRule="auto"/>
      </w:pPr>
    </w:p>
    <w:p w14:paraId="113E1E5E">
      <w:pPr>
        <w:spacing w:after="60" w:line="336" w:lineRule="auto"/>
        <w:ind w:firstLine="420"/>
      </w:pPr>
      <w:r>
        <w:rPr>
          <w:rFonts w:ascii="Times New Roman" w:hAnsi="Times New Roman" w:eastAsia="思源黑体" w:cs="Times New Roman"/>
          <w:b w:val="0"/>
          <w:sz w:val="19"/>
          <w:szCs w:val="19"/>
        </w:rPr>
        <w:t>注：申请交通安全设施养护资质的单位具备技术人员条件、财务条件、技术设备条件，但不具备近5年累计有效业绩条件的，可以申请承担二级及以下公路交通安全设施的各类养护工程的资质。</w:t>
      </w:r>
    </w:p>
    <w:p w14:paraId="52465870">
      <w:r>
        <w:br w:type="page"/>
      </w:r>
      <w:r>
        <w:rPr>
          <w:rFonts w:hint="eastAsia" w:cs="Times New Roman"/>
          <w:b/>
          <w:color w:val="1F4E79"/>
          <w:sz w:val="24"/>
          <w:szCs w:val="24"/>
          <w:lang w:val="en-US" w:eastAsia="zh-CN"/>
        </w:rPr>
        <w:t>二</w:t>
      </w:r>
      <w:r>
        <w:rPr>
          <w:rFonts w:ascii="Times New Roman" w:hAnsi="Times New Roman" w:eastAsia="思源黑体" w:cs="Times New Roman"/>
          <w:b/>
          <w:color w:val="1F4E79"/>
          <w:sz w:val="24"/>
          <w:szCs w:val="24"/>
        </w:rPr>
        <w:t>、许可条件说明</w:t>
      </w:r>
    </w:p>
    <w:p w14:paraId="2E0AFFBC">
      <w:pPr>
        <w:spacing w:after="60" w:line="336" w:lineRule="auto"/>
        <w:ind w:firstLine="420"/>
      </w:pPr>
      <w:r>
        <w:rPr>
          <w:rFonts w:ascii="Times New Roman" w:hAnsi="Times New Roman" w:eastAsia="思源黑体" w:cs="Times New Roman"/>
          <w:b/>
          <w:sz w:val="21"/>
          <w:szCs w:val="21"/>
        </w:rPr>
        <w:t>（一）申请主体。</w:t>
      </w:r>
    </w:p>
    <w:p w14:paraId="07BDB56E">
      <w:pPr>
        <w:spacing w:after="60" w:line="336" w:lineRule="auto"/>
        <w:ind w:firstLine="420"/>
      </w:pPr>
      <w:r>
        <w:rPr>
          <w:rFonts w:ascii="Times New Roman" w:hAnsi="Times New Roman" w:eastAsia="思源黑体" w:cs="Times New Roman"/>
          <w:b w:val="0"/>
          <w:sz w:val="21"/>
          <w:szCs w:val="21"/>
        </w:rPr>
        <w:t>申请人以独立企业法人所拥有的技术人员、净资产、业绩、技术设备等情况提出申请，不能使用其母公司、子公司、管理公司等相应资源。申请材料存疑的，申请单位需提供相关材料原件和证明材料，必要时配合相关部门进行核查。</w:t>
      </w:r>
    </w:p>
    <w:p w14:paraId="77B1A4F7">
      <w:pPr>
        <w:spacing w:after="60" w:line="336" w:lineRule="auto"/>
        <w:ind w:firstLine="420"/>
      </w:pPr>
      <w:r>
        <w:rPr>
          <w:rFonts w:ascii="Times New Roman" w:hAnsi="Times New Roman" w:eastAsia="思源黑体" w:cs="Times New Roman"/>
          <w:b/>
          <w:sz w:val="21"/>
          <w:szCs w:val="21"/>
        </w:rPr>
        <w:t>（二）技术人员认定。</w:t>
      </w:r>
    </w:p>
    <w:p w14:paraId="081B935C">
      <w:pPr>
        <w:spacing w:after="60" w:line="336" w:lineRule="auto"/>
        <w:ind w:firstLine="420"/>
        <w:rPr>
          <w:rFonts w:hint="eastAsia" w:eastAsia="思源黑体"/>
          <w:lang w:eastAsia="zh-CN"/>
        </w:rPr>
      </w:pPr>
      <w:r>
        <w:rPr>
          <w:rFonts w:ascii="Times New Roman" w:hAnsi="Times New Roman" w:eastAsia="思源黑体" w:cs="Times New Roman"/>
          <w:b w:val="0"/>
          <w:sz w:val="21"/>
          <w:szCs w:val="21"/>
        </w:rPr>
        <w:t>申请人的技术人员（包括企业技术负责人、专业技术人员和技术工人）应当在法定退休年龄以下，并与申请人签订1年以上的劳动合同。申请人的技术人员应当提供申请日期前3个月连续缴纳的社保证明，社保缴纳单位应当与资质申请人一致</w:t>
      </w:r>
      <w:r>
        <w:rPr>
          <w:rFonts w:hint="eastAsia" w:cs="Times New Roman"/>
          <w:b w:val="0"/>
          <w:sz w:val="21"/>
          <w:szCs w:val="21"/>
          <w:lang w:eastAsia="zh-CN"/>
        </w:rPr>
        <w:t>，</w:t>
      </w:r>
      <w:r>
        <w:rPr>
          <w:rFonts w:ascii="Times New Roman" w:hAnsi="Times New Roman" w:eastAsia="思源黑体" w:cs="Times New Roman"/>
          <w:b w:val="0"/>
          <w:sz w:val="21"/>
          <w:szCs w:val="21"/>
        </w:rPr>
        <w:t>因单位改制等原因导致不一致的，需提供单位改制文件。申请人技术人员</w:t>
      </w:r>
      <w:r>
        <w:rPr>
          <w:rFonts w:hint="eastAsia" w:cs="Times New Roman"/>
          <w:b w:val="0"/>
          <w:sz w:val="21"/>
          <w:szCs w:val="21"/>
          <w:lang w:eastAsia="zh-CN"/>
        </w:rPr>
        <w:t>，</w:t>
      </w:r>
      <w:r>
        <w:rPr>
          <w:rFonts w:ascii="Times New Roman" w:hAnsi="Times New Roman" w:eastAsia="思源黑体" w:cs="Times New Roman"/>
          <w:b w:val="0"/>
          <w:sz w:val="21"/>
          <w:szCs w:val="21"/>
        </w:rPr>
        <w:t>原则上须在近2年内未用于其他企业申报资质</w:t>
      </w:r>
      <w:r>
        <w:rPr>
          <w:rFonts w:hint="eastAsia" w:cs="Times New Roman"/>
          <w:b w:val="0"/>
          <w:sz w:val="21"/>
          <w:szCs w:val="21"/>
          <w:lang w:eastAsia="zh-CN"/>
        </w:rPr>
        <w:t>。</w:t>
      </w:r>
    </w:p>
    <w:p w14:paraId="6C0F5728">
      <w:pPr>
        <w:spacing w:after="60" w:line="336" w:lineRule="auto"/>
        <w:ind w:firstLine="420"/>
      </w:pPr>
      <w:r>
        <w:rPr>
          <w:rFonts w:ascii="Times New Roman" w:hAnsi="Times New Roman" w:eastAsia="思源黑体" w:cs="Times New Roman"/>
          <w:b w:val="0"/>
          <w:sz w:val="21"/>
          <w:szCs w:val="21"/>
        </w:rPr>
        <w:t>1. 技术负责人是申请人分管技术工作的副总经理、总工程师或副总工程师；技术负责人个人业绩应当为其作为项目经理、</w:t>
      </w:r>
      <w:r>
        <w:rPr>
          <w:rFonts w:hint="eastAsia" w:cs="Times New Roman"/>
          <w:b w:val="0"/>
          <w:sz w:val="21"/>
          <w:szCs w:val="21"/>
          <w:lang w:val="en-US" w:eastAsia="zh-CN"/>
        </w:rPr>
        <w:t>项目</w:t>
      </w:r>
      <w:r>
        <w:rPr>
          <w:rFonts w:ascii="Times New Roman" w:hAnsi="Times New Roman" w:eastAsia="思源黑体" w:cs="Times New Roman"/>
          <w:b w:val="0"/>
          <w:sz w:val="21"/>
          <w:szCs w:val="21"/>
        </w:rPr>
        <w:t>技术负责人（或项目总工）身份参与完成的公路养护工程业绩，且其在该工程项目任职时间不少于6个月或项目合同期的1/2。</w:t>
      </w:r>
    </w:p>
    <w:p w14:paraId="4C8A2331">
      <w:pPr>
        <w:spacing w:after="60" w:line="336" w:lineRule="auto"/>
        <w:ind w:firstLine="420"/>
      </w:pPr>
      <w:r>
        <w:rPr>
          <w:rFonts w:ascii="Times New Roman" w:hAnsi="Times New Roman" w:eastAsia="思源黑体" w:cs="Times New Roman"/>
          <w:b w:val="0"/>
          <w:sz w:val="21"/>
          <w:szCs w:val="21"/>
        </w:rPr>
        <w:t>2. 技术人员职称（会计师、经济师除外）、注册建造师及技术工人的专业均指涉及公路工程相关专业。注册建造师、中级及以上职称人员、造价工程师、技术工人中1人同时具有注册证书、技术职称、岗位证书、技术工人培训合格证书或职业技能等级证书中2个及以上的，在同一项资质申请中只能作为1人考核，但一人同时拥有注册证书和技术职称的，可同时作为注册人员和技术职称人员考核。同时申请多项公路养护作业资质的，技术负责人、专业技术人员、技术工人可重复使用。</w:t>
      </w:r>
    </w:p>
    <w:p w14:paraId="7862AED8">
      <w:pPr>
        <w:spacing w:after="60" w:line="336" w:lineRule="auto"/>
        <w:ind w:firstLine="420"/>
      </w:pPr>
      <w:r>
        <w:rPr>
          <w:rFonts w:ascii="Times New Roman" w:hAnsi="Times New Roman" w:eastAsia="思源黑体" w:cs="Times New Roman"/>
          <w:b w:val="0"/>
          <w:sz w:val="21"/>
          <w:szCs w:val="21"/>
        </w:rPr>
        <w:t>3. 技术工人（包括养护工、桥隧工、筑路工及相关机械操作手等工种）按照国家职业技能标准认定，并应当满足相应序列等级要求的2种及以上。技术工人培训合格证书或职业技能等级证书由交通、人社等行政单位颁发的直接予以认定；若由职业技能等级评价机构颁发，则该评价机构必须已在人社部“职业技能等级评价机构公示查询系统”备案。</w:t>
      </w:r>
    </w:p>
    <w:p w14:paraId="272AC945">
      <w:pPr>
        <w:spacing w:after="60" w:line="336" w:lineRule="auto"/>
        <w:ind w:firstLine="420"/>
      </w:pPr>
      <w:r>
        <w:rPr>
          <w:rFonts w:ascii="Times New Roman" w:hAnsi="Times New Roman" w:eastAsia="思源黑体" w:cs="Times New Roman"/>
          <w:b/>
          <w:sz w:val="21"/>
          <w:szCs w:val="21"/>
        </w:rPr>
        <w:t>（三）财务状况。</w:t>
      </w:r>
    </w:p>
    <w:p w14:paraId="269C54F1">
      <w:pPr>
        <w:spacing w:after="60" w:line="336" w:lineRule="auto"/>
        <w:ind w:firstLine="420"/>
      </w:pPr>
      <w:r>
        <w:rPr>
          <w:rFonts w:ascii="Times New Roman" w:hAnsi="Times New Roman" w:eastAsia="思源黑体" w:cs="Times New Roman"/>
          <w:b w:val="0"/>
          <w:sz w:val="21"/>
          <w:szCs w:val="21"/>
        </w:rPr>
        <w:t>申请人需提供近3年合法的财务报表（应包括财务报表说明、资产负债表、利润表、现金流量表、含技术设备的固定资产明细表等）。如申请人成立时间不足3年，则需提供自注册之日起所有年度合法的财务报表。申请人净资产以申请资质前一年度或当期合法的财务报表中净资产为依据；申请人成立不足1年的，以其《营业执照》所载注册资本为准考核。申请多项公路养护资质的，不对净资产作累加要求。</w:t>
      </w:r>
    </w:p>
    <w:p w14:paraId="765A2B63">
      <w:pPr>
        <w:spacing w:after="60" w:line="336" w:lineRule="auto"/>
        <w:ind w:firstLine="420"/>
      </w:pPr>
      <w:r>
        <w:rPr>
          <w:rFonts w:ascii="Times New Roman" w:hAnsi="Times New Roman" w:eastAsia="思源黑体" w:cs="Times New Roman"/>
          <w:b/>
          <w:sz w:val="21"/>
          <w:szCs w:val="21"/>
        </w:rPr>
        <w:t>（四）业绩认定。</w:t>
      </w:r>
    </w:p>
    <w:p w14:paraId="2B86308F">
      <w:pPr>
        <w:spacing w:after="60" w:line="336" w:lineRule="auto"/>
        <w:ind w:firstLine="420"/>
      </w:pPr>
      <w:r>
        <w:rPr>
          <w:rFonts w:ascii="Times New Roman" w:hAnsi="Times New Roman" w:eastAsia="思源黑体" w:cs="Times New Roman"/>
          <w:b w:val="0"/>
          <w:sz w:val="21"/>
          <w:szCs w:val="21"/>
        </w:rPr>
        <w:t>申请单位需提供其近5年承担的养护工程项目业绩材料。</w:t>
      </w:r>
    </w:p>
    <w:p w14:paraId="251EA111">
      <w:pPr>
        <w:spacing w:after="60" w:line="336" w:lineRule="auto"/>
        <w:ind w:firstLine="420"/>
      </w:pPr>
      <w:r>
        <w:rPr>
          <w:rFonts w:ascii="Times New Roman" w:hAnsi="Times New Roman" w:eastAsia="思源黑体" w:cs="Times New Roman"/>
          <w:b w:val="0"/>
          <w:sz w:val="21"/>
          <w:szCs w:val="21"/>
        </w:rPr>
        <w:t>1. 养护工程项目业绩</w:t>
      </w:r>
      <w:r>
        <w:rPr>
          <w:rFonts w:hint="eastAsia" w:ascii="Times New Roman" w:hAnsi="Times New Roman" w:eastAsia="思源黑体" w:cs="Times New Roman"/>
          <w:b w:val="0"/>
          <w:sz w:val="21"/>
          <w:szCs w:val="21"/>
          <w:lang w:eastAsia="zh-CN"/>
        </w:rPr>
        <w:t>，</w:t>
      </w:r>
      <w:r>
        <w:rPr>
          <w:rFonts w:hint="eastAsia" w:ascii="Times New Roman" w:hAnsi="Times New Roman" w:eastAsia="思源黑体" w:cs="Times New Roman"/>
          <w:b w:val="0"/>
          <w:sz w:val="21"/>
          <w:szCs w:val="21"/>
          <w:lang w:val="en-US" w:eastAsia="zh-CN"/>
        </w:rPr>
        <w:t>须</w:t>
      </w:r>
      <w:r>
        <w:rPr>
          <w:rFonts w:ascii="Times New Roman" w:hAnsi="Times New Roman" w:eastAsia="思源黑体" w:cs="Times New Roman"/>
          <w:b w:val="0"/>
          <w:sz w:val="21"/>
          <w:szCs w:val="21"/>
        </w:rPr>
        <w:t>纳入“全国公路建设市场监督管理系统—公路养护作业单位资质管理模块”</w:t>
      </w:r>
      <w:bookmarkStart w:id="0" w:name="_GoBack"/>
      <w:bookmarkEnd w:id="0"/>
      <w:r>
        <w:rPr>
          <w:rFonts w:hint="eastAsia" w:cs="Times New Roman"/>
          <w:b w:val="0"/>
          <w:sz w:val="21"/>
          <w:szCs w:val="21"/>
          <w:lang w:eastAsia="zh-CN"/>
        </w:rPr>
        <w:t>，</w:t>
      </w:r>
      <w:r>
        <w:rPr>
          <w:rFonts w:hint="eastAsia" w:cs="Times New Roman"/>
          <w:b w:val="0"/>
          <w:sz w:val="21"/>
          <w:szCs w:val="21"/>
          <w:lang w:val="en-US" w:eastAsia="zh-CN"/>
        </w:rPr>
        <w:t>并</w:t>
      </w:r>
      <w:r>
        <w:rPr>
          <w:rFonts w:ascii="Times New Roman" w:hAnsi="Times New Roman" w:eastAsia="思源黑体" w:cs="Times New Roman"/>
          <w:b w:val="0"/>
          <w:sz w:val="21"/>
          <w:szCs w:val="21"/>
        </w:rPr>
        <w:t>提供养护工程业绩网页截图、中标通知书、合同协议、交（竣）工证书。</w:t>
      </w:r>
    </w:p>
    <w:p w14:paraId="451B3FD4">
      <w:pPr>
        <w:spacing w:after="60" w:line="336" w:lineRule="auto"/>
        <w:ind w:firstLine="420"/>
      </w:pPr>
      <w:r>
        <w:rPr>
          <w:rFonts w:ascii="Times New Roman" w:hAnsi="Times New Roman" w:eastAsia="思源黑体" w:cs="Times New Roman"/>
          <w:b w:val="0"/>
          <w:sz w:val="21"/>
          <w:szCs w:val="21"/>
        </w:rPr>
        <w:t>2. 路基路面按照实际修复里程计算，同一工程中既包含路基、又包含路面工程内容的，其作业里程不予累加，只按两者中最长里程认定。</w:t>
      </w:r>
    </w:p>
    <w:p w14:paraId="5FFA4C2E">
      <w:pPr>
        <w:spacing w:after="60" w:line="336" w:lineRule="auto"/>
        <w:ind w:firstLine="420"/>
      </w:pPr>
      <w:r>
        <w:rPr>
          <w:rFonts w:ascii="Times New Roman" w:hAnsi="Times New Roman" w:eastAsia="思源黑体" w:cs="Times New Roman"/>
          <w:b w:val="0"/>
          <w:sz w:val="21"/>
          <w:szCs w:val="21"/>
        </w:rPr>
        <w:t>（1）同一养护工程路基、路面分别由不同施工单位中标的，企业在申报路基路面资质时，需按各自的中标金额除以该养护工程所有路基和路面中标金额的合计值后再乘以养护工程长度确定，提供由建设单位提供的该养护工程的批复文件和路基路面工程的所有中标单位名称、施工合同、中标工程量清单及申请人出具的详细折算过程书面材料；不属于上述情况但仅包含路基或路面内容的养护工程，需由申请人出具该养护工程仅包含路基或路面养护的真实性承诺说明。上述均需加盖相应单位公章。</w:t>
      </w:r>
    </w:p>
    <w:p w14:paraId="0CEDF170">
      <w:pPr>
        <w:spacing w:after="60" w:line="336" w:lineRule="auto"/>
        <w:ind w:firstLine="420"/>
      </w:pPr>
      <w:r>
        <w:rPr>
          <w:rFonts w:ascii="Times New Roman" w:hAnsi="Times New Roman" w:eastAsia="思源黑体" w:cs="Times New Roman"/>
          <w:b w:val="0"/>
          <w:sz w:val="21"/>
          <w:szCs w:val="21"/>
        </w:rPr>
        <w:t>（2）路基路面养护业绩的里程长度认定：修复性养护中的大、中修工程，直接认定合同标段注明长度；修复性养护中的小修工程，如有路面维修工程量，则以路面维修面积按照一个车道（3.75米）宽度折算为里程，并与标段长度进行比较，以二者最小值认定；若无路面维修工程量，则不予认定为有效业绩。预防性养护工程，按照两个车道（7.5米）宽度折算为里程，并与标段长度进行比较，以二者最小值认定。上述均需提供中标工程量清单（或经业主确认的结算清单）。</w:t>
      </w:r>
    </w:p>
    <w:p w14:paraId="4DB5622F">
      <w:pPr>
        <w:spacing w:after="60" w:line="336" w:lineRule="auto"/>
        <w:ind w:firstLine="420"/>
      </w:pPr>
      <w:r>
        <w:rPr>
          <w:rFonts w:ascii="Times New Roman" w:hAnsi="Times New Roman" w:eastAsia="思源黑体" w:cs="Times New Roman"/>
          <w:b w:val="0"/>
          <w:sz w:val="21"/>
          <w:szCs w:val="21"/>
        </w:rPr>
        <w:t>（3）小修工程与日常养护工程的区分：根据《公路养护技术标准》（JTG 5110—2023），对于修复养护前提下的含路面维修的小修工程予以认定为有效业绩，以路面维修面积按照一个车道（3.75米）宽度折算为里程，并与标段长度进行比较，以二者最小值认定；对于以日常养护为主的小修工程，不予认定为有效业绩。</w:t>
      </w:r>
    </w:p>
    <w:p w14:paraId="52D4BBF5">
      <w:pPr>
        <w:spacing w:after="60" w:line="336" w:lineRule="auto"/>
        <w:ind w:firstLine="420"/>
      </w:pPr>
      <w:r>
        <w:rPr>
          <w:rFonts w:ascii="Times New Roman" w:hAnsi="Times New Roman" w:eastAsia="思源黑体" w:cs="Times New Roman"/>
          <w:b w:val="0"/>
          <w:sz w:val="21"/>
          <w:szCs w:val="21"/>
        </w:rPr>
        <w:t>3. 桥梁、隧道工程的分类按照《公路工程技术标准》（JTG B01—2014）确定。其中，横断面分幅的一级及以上公路桥梁、隧道，按分幅计算；不分幅的二级、三级、四级公路按1座计算。</w:t>
      </w:r>
    </w:p>
    <w:p w14:paraId="3BBD8B7B">
      <w:pPr>
        <w:spacing w:after="60" w:line="336" w:lineRule="auto"/>
        <w:ind w:firstLine="420"/>
      </w:pPr>
      <w:r>
        <w:rPr>
          <w:rFonts w:ascii="Times New Roman" w:hAnsi="Times New Roman" w:eastAsia="思源黑体" w:cs="Times New Roman"/>
          <w:b w:val="0"/>
          <w:sz w:val="21"/>
          <w:szCs w:val="21"/>
        </w:rPr>
        <w:t>4. 交通安全设施（申报业绩中累计含标志、标线、护栏、隔离栅、防眩设施等3项以上）折算成公里数进行认定。标段中只有交安设施内容的，以合同额折算里程（高速公路按100万元/公里，一级公路按80万元/公里，二级公路按40万元/公里），并与标段长度进行比较，以二者最小值认定；标段中包含土建和交安设施内容的，以工程量清单中交安部分的金额进行折算里程（高速公路按100万元/公里，一级公路按80万元/公里，二级公路按40万元/公里），并与标段长度进行比较，以二者最小值认定。</w:t>
      </w:r>
    </w:p>
    <w:p w14:paraId="7B3C131C">
      <w:pPr>
        <w:spacing w:after="60" w:line="336" w:lineRule="auto"/>
        <w:ind w:firstLine="420"/>
      </w:pPr>
      <w:r>
        <w:rPr>
          <w:rFonts w:ascii="Times New Roman" w:hAnsi="Times New Roman" w:eastAsia="思源黑体" w:cs="Times New Roman"/>
          <w:b w:val="0"/>
          <w:sz w:val="21"/>
          <w:szCs w:val="21"/>
        </w:rPr>
        <w:t>5. 联合体、合法分包工程按照实际完成工程量计算，申请人提交的合同应当包含总包合同及分包合同，其中分包合同需明确分包工程内容和工程量，并附项目建设单位备案材料。同一公路养护工程业绩不得在总包和分包单位间重复使用，业绩重复时，应当由建设单位出具证明材料，明确该业绩的使用单位。</w:t>
      </w:r>
    </w:p>
    <w:p w14:paraId="3B734468">
      <w:pPr>
        <w:spacing w:after="60" w:line="336" w:lineRule="auto"/>
        <w:ind w:firstLine="420"/>
      </w:pPr>
      <w:r>
        <w:rPr>
          <w:rFonts w:ascii="Times New Roman" w:hAnsi="Times New Roman" w:eastAsia="思源黑体" w:cs="Times New Roman"/>
          <w:b w:val="0"/>
          <w:sz w:val="21"/>
          <w:szCs w:val="21"/>
        </w:rPr>
        <w:t>6. 同一个业绩内容同时包含新改（扩）建和养护内容的，如果项目按照基本建设程序审批，明确为公路新建、改（扩）建工程的，不予认定为养护工程有效业绩；对于项目未明确为公路新建、改（扩）建工程或项目名称为“道路提升”“品质提升”“农村公路建设”等类似的业绩，申请人应提供项目批复文件、设计图纸等资料，根据该项目的道路属性、执行标准、工程性质、建设内容等认定。</w:t>
      </w:r>
    </w:p>
    <w:p w14:paraId="732BF18C">
      <w:pPr>
        <w:spacing w:after="60" w:line="336" w:lineRule="auto"/>
        <w:ind w:firstLine="420"/>
      </w:pPr>
      <w:r>
        <w:rPr>
          <w:rFonts w:ascii="Times New Roman" w:hAnsi="Times New Roman" w:eastAsia="思源黑体" w:cs="Times New Roman"/>
          <w:b w:val="0"/>
          <w:sz w:val="21"/>
          <w:szCs w:val="21"/>
        </w:rPr>
        <w:t>7. 上述业绩要求及证明方式同样适用于对企业技术负责人的业绩要求。</w:t>
      </w:r>
    </w:p>
    <w:p w14:paraId="019977B6">
      <w:pPr>
        <w:spacing w:after="60" w:line="336" w:lineRule="auto"/>
        <w:ind w:firstLine="420"/>
      </w:pPr>
      <w:r>
        <w:rPr>
          <w:rFonts w:ascii="Times New Roman" w:hAnsi="Times New Roman" w:eastAsia="思源黑体" w:cs="Times New Roman"/>
          <w:b/>
          <w:sz w:val="21"/>
          <w:szCs w:val="21"/>
        </w:rPr>
        <w:t>（五）技术设备。</w:t>
      </w:r>
    </w:p>
    <w:p w14:paraId="16BB7EBB">
      <w:pPr>
        <w:spacing w:after="60" w:line="336" w:lineRule="auto"/>
        <w:ind w:firstLine="420"/>
      </w:pPr>
      <w:r>
        <w:rPr>
          <w:rFonts w:ascii="Times New Roman" w:hAnsi="Times New Roman" w:eastAsia="思源黑体" w:cs="Times New Roman"/>
          <w:b w:val="0"/>
          <w:sz w:val="21"/>
          <w:szCs w:val="21"/>
        </w:rPr>
        <w:t>申请人的技术设备，应提供设备发票并在近一年度合法的财务报表或资产评估报告中载明。</w:t>
      </w:r>
    </w:p>
    <w:sectPr>
      <w:footerReference r:id="rId5" w:type="default"/>
      <w:pgSz w:w="16838" w:h="11906" w:orient="landscape"/>
      <w:pgMar w:top="1080" w:right="1080" w:bottom="1080" w:left="108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auto"/>
    <w:pitch w:val="default"/>
    <w:sig w:usb0="E00002FF" w:usb1="400004FF" w:usb2="00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思源黑体">
    <w:altName w:val="黑体"/>
    <w:panose1 w:val="00000000000000000000"/>
    <w:charset w:val="00"/>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6FB9D">
    <w:pPr>
      <w:pStyle w:val="24"/>
    </w:pPr>
    <w:r>
      <w:rPr>
        <w:rFonts w:ascii="Times New Roman" w:hAnsi="Times New Roman" w:eastAsia="思源黑体" w:cs="Times New Roman"/>
      </w:rPr>
      <w:t>附件1-</w:t>
    </w:r>
    <w:r>
      <w:fldChar w:fldCharType="begin"/>
    </w:r>
    <w:r>
      <w:instrText xml:space="preserve">PAGE</w:instrText>
    </w:r>
    <w:r>
      <w:fldChar w:fldCharType="separate"/>
    </w:r>
    <w:r>
      <w:fldChar w:fldCharType="end"/>
    </w:r>
    <w:r>
      <w:rPr>
        <w:rFonts w:ascii="Times New Roman" w:hAnsi="Times New Roman" w:eastAsia="思源黑体" w:cs="Times New Roman"/>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8B4633C"/>
    <w:rsid w:val="09AA04A0"/>
    <w:rsid w:val="171E1C78"/>
    <w:rsid w:val="1BCF70EB"/>
    <w:rsid w:val="20461F18"/>
    <w:rsid w:val="21967F75"/>
    <w:rsid w:val="2CED2F88"/>
    <w:rsid w:val="3470346C"/>
    <w:rsid w:val="48340730"/>
    <w:rsid w:val="57052952"/>
    <w:rsid w:val="6ED77165"/>
    <w:rsid w:val="712C0B3A"/>
    <w:rsid w:val="74927138"/>
    <w:rsid w:val="74DD37C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qFormat="1"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unhideWhenUsed="0" w:uiPriority="61" w:semiHidden="0" w:name="Light List Accent 4"/>
    <w:lsdException w:qFormat="1"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unhideWhenUsed="0" w:uiPriority="61" w:semiHidden="0" w:name="Light List Accent 6"/>
    <w:lsdException w:qFormat="1" w:unhideWhenUsed="0" w:uiPriority="62" w:semiHidden="0" w:name="Light Grid Accent 6"/>
    <w:lsdException w:unhideWhenUsed="0" w:uiPriority="63" w:semiHidden="0" w:name="Medium Shading 1 Accent 6"/>
    <w:lsdException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思源黑体" w:cs="Times New Roman"/>
      <w:sz w:val="24"/>
      <w:szCs w:val="24"/>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32"/>
      <w:szCs w:val="32"/>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8"/>
      <w:szCs w:val="28"/>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4221</Words>
  <Characters>4750</Characters>
  <Lines>0</Lines>
  <Paragraphs>0</Paragraphs>
  <TotalTime>6</TotalTime>
  <ScaleCrop>false</ScaleCrop>
  <LinksUpToDate>false</LinksUpToDate>
  <CharactersWithSpaces>4764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Yang</cp:lastModifiedBy>
  <dcterms:modified xsi:type="dcterms:W3CDTF">2026-10-16T08:52:20Z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eyJoZGlkIjoiMmM2NWZjY2RiODI0NDMyZjc1YjFiZTllNGMxZjg1YWEifQ==</vt:lpwstr>
  </property>
  <property fmtid="{D5CDD505-2E9C-101B-9397-08002B2CF9AE}" pid="3" name="KSOProductBuildVer">
    <vt:lpwstr>2052-12.1.0.28505</vt:lpwstr>
  </property>
  <property fmtid="{D5CDD505-2E9C-101B-9397-08002B2CF9AE}" pid="4" name="ICV">
    <vt:lpwstr>4434404A27F2436BBCC59FCCB880E915_12</vt:lpwstr>
  </property>
</Properties>
</file>