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5D6B08">
      <w:pPr>
        <w:spacing w:after="0" w:line="600" w:lineRule="exact"/>
        <w:jc w:val="center"/>
        <w:rPr>
          <w:rFonts w:hint="eastAsia" w:ascii="方正小标宋简体" w:hAnsi="方正小标宋简体" w:eastAsia="方正小标宋简体" w:cs="方正小标宋简体"/>
          <w:color w:val="333333"/>
          <w:sz w:val="44"/>
          <w:szCs w:val="44"/>
        </w:rPr>
      </w:pPr>
      <w:bookmarkStart w:id="27" w:name="_GoBack"/>
      <w:bookmarkEnd w:id="27"/>
    </w:p>
    <w:p w14:paraId="40E00D17">
      <w:pPr>
        <w:spacing w:after="0" w:line="600" w:lineRule="exact"/>
        <w:jc w:val="center"/>
        <w:rPr>
          <w:rFonts w:ascii="方正小标宋简体" w:hAnsi="方正小标宋简体" w:eastAsia="方正小标宋简体" w:cs="方正小标宋简体"/>
          <w:color w:val="333333"/>
          <w:sz w:val="44"/>
          <w:szCs w:val="44"/>
        </w:rPr>
      </w:pPr>
      <w:r>
        <w:rPr>
          <w:rFonts w:hint="eastAsia" w:ascii="方正小标宋简体" w:hAnsi="方正小标宋简体" w:eastAsia="方正小标宋简体" w:cs="方正小标宋简体"/>
          <w:color w:val="333333"/>
          <w:sz w:val="44"/>
          <w:szCs w:val="44"/>
        </w:rPr>
        <w:t>关于推进城市公共交通高质量发展的指导意见</w:t>
      </w:r>
    </w:p>
    <w:p w14:paraId="6E62F682">
      <w:pPr>
        <w:pStyle w:val="2"/>
        <w:spacing w:after="0" w:line="600" w:lineRule="exact"/>
        <w:jc w:val="center"/>
        <w:rPr>
          <w:rFonts w:ascii="楷体_GB2312" w:hAnsi="楷体_GB2312" w:eastAsia="楷体_GB2312" w:cs="楷体_GB2312"/>
          <w:sz w:val="32"/>
          <w:szCs w:val="32"/>
        </w:rPr>
      </w:pPr>
      <w:r>
        <w:rPr>
          <w:rFonts w:hint="eastAsia" w:ascii="楷体_GB2312" w:hAnsi="楷体_GB2312" w:eastAsia="楷体_GB2312" w:cs="楷体_GB2312"/>
          <w:color w:val="333333"/>
          <w:sz w:val="32"/>
          <w:szCs w:val="32"/>
        </w:rPr>
        <w:t>（征求意见稿）</w:t>
      </w:r>
    </w:p>
    <w:p w14:paraId="6597BA2F">
      <w:pPr>
        <w:spacing w:after="0" w:line="600" w:lineRule="exact"/>
        <w:jc w:val="center"/>
        <w:rPr>
          <w:rFonts w:ascii="仿宋_GB2312" w:hAnsi="Calibri" w:eastAsia="仿宋_GB2312" w:cs="Times New Roman"/>
          <w:snapToGrid w:val="0"/>
          <w:kern w:val="0"/>
          <w:sz w:val="32"/>
          <w:szCs w:val="32"/>
        </w:rPr>
      </w:pPr>
    </w:p>
    <w:p w14:paraId="08CE78B7">
      <w:pPr>
        <w:spacing w:after="0" w:line="600" w:lineRule="exact"/>
        <w:ind w:firstLine="640" w:firstLineChars="200"/>
        <w:rPr>
          <w:rFonts w:ascii="仿宋_GB2312" w:hAnsi="Calibri" w:eastAsia="仿宋_GB2312" w:cs="Times New Roman"/>
          <w:snapToGrid w:val="0"/>
          <w:kern w:val="0"/>
          <w:sz w:val="32"/>
          <w:szCs w:val="32"/>
        </w:rPr>
      </w:pPr>
      <w:r>
        <w:rPr>
          <w:rFonts w:hint="eastAsia" w:ascii="仿宋_GB2312" w:hAnsi="Calibri" w:eastAsia="仿宋_GB2312" w:cs="Times New Roman"/>
          <w:snapToGrid w:val="0"/>
          <w:kern w:val="0"/>
          <w:sz w:val="32"/>
          <w:szCs w:val="32"/>
        </w:rPr>
        <w:t>城市公共交通是保障人民群众基本出行的社会公益性事业，是建设现代化综合交通体系、加快建设交通强国的重要内容。为落实《城市公共交通条例》（国务院令第793号），深入实施城市公共交通优先发展战略，加快推动城市公共交通高质量发展，结合我省实际，提出如下意见。</w:t>
      </w:r>
    </w:p>
    <w:p w14:paraId="73F9BD93">
      <w:pPr>
        <w:spacing w:after="0" w:line="600" w:lineRule="exact"/>
        <w:ind w:firstLine="640" w:firstLineChars="200"/>
        <w:rPr>
          <w:rFonts w:ascii="黑体" w:hAnsi="黑体" w:eastAsia="黑体" w:cs="黑体"/>
          <w:snapToGrid w:val="0"/>
          <w:kern w:val="0"/>
          <w:sz w:val="32"/>
          <w:szCs w:val="32"/>
        </w:rPr>
      </w:pPr>
      <w:r>
        <w:rPr>
          <w:rFonts w:hint="eastAsia" w:ascii="黑体" w:hAnsi="黑体" w:eastAsia="黑体" w:cs="黑体"/>
          <w:snapToGrid w:val="0"/>
          <w:kern w:val="0"/>
          <w:sz w:val="32"/>
          <w:szCs w:val="32"/>
        </w:rPr>
        <w:t>一、总体要求</w:t>
      </w:r>
    </w:p>
    <w:p w14:paraId="4EEA99FA">
      <w:pPr>
        <w:pStyle w:val="2"/>
        <w:spacing w:after="0"/>
        <w:ind w:firstLine="640" w:firstLineChars="200"/>
        <w:rPr>
          <w:rFonts w:ascii="Times New Roman" w:hAnsi="Times New Roman" w:eastAsia="仿宋_GB2312" w:cs="楷体_GB2312"/>
          <w:color w:val="EE0000"/>
          <w:sz w:val="32"/>
          <w:szCs w:val="32"/>
        </w:rPr>
      </w:pPr>
      <w:r>
        <w:rPr>
          <w:rFonts w:hint="eastAsia" w:ascii="仿宋_GB2312" w:hAnsi="Calibri" w:eastAsia="仿宋_GB2312" w:cs="Times New Roman"/>
          <w:snapToGrid w:val="0"/>
          <w:kern w:val="0"/>
          <w:sz w:val="32"/>
          <w:szCs w:val="32"/>
        </w:rPr>
        <w:t>坚持以习近平新时代中国特色社会主义思想为指导，全面贯彻党的二十大和二十届二中、三中全会精神，</w:t>
      </w:r>
      <w:r>
        <w:rPr>
          <w:rFonts w:hint="eastAsia" w:ascii="Times New Roman" w:hAnsi="Times New Roman" w:eastAsia="仿宋_GB2312" w:cs="楷体_GB2312"/>
          <w:sz w:val="32"/>
          <w:szCs w:val="32"/>
        </w:rPr>
        <w:t>深入贯彻落实习近平总书记关于城市工作和交通运输工作的重要论述以及视察山东重要指示精神，</w:t>
      </w:r>
      <w:r>
        <w:rPr>
          <w:rFonts w:hint="eastAsia" w:ascii="仿宋_GB2312" w:hAnsi="Calibri" w:eastAsia="仿宋_GB2312" w:cs="Times New Roman"/>
          <w:snapToGrid w:val="0"/>
          <w:kern w:val="0"/>
          <w:sz w:val="32"/>
          <w:szCs w:val="32"/>
        </w:rPr>
        <w:t>认真践行</w:t>
      </w:r>
      <w:r>
        <w:rPr>
          <w:rFonts w:hint="eastAsia" w:ascii="Times New Roman" w:hAnsi="Times New Roman" w:eastAsia="仿宋_GB2312" w:cs="楷体_GB2312"/>
          <w:sz w:val="32"/>
          <w:szCs w:val="32"/>
        </w:rPr>
        <w:t>“城市现代化要交通先行”“发展公共交通是现代城市发展的方向”</w:t>
      </w:r>
      <w:r>
        <w:rPr>
          <w:rFonts w:hint="eastAsia" w:ascii="仿宋_GB2312" w:hAnsi="Calibri" w:eastAsia="仿宋_GB2312" w:cs="Times New Roman"/>
          <w:snapToGrid w:val="0"/>
          <w:kern w:val="0"/>
          <w:sz w:val="32"/>
          <w:szCs w:val="32"/>
        </w:rPr>
        <w:t>要求</w:t>
      </w:r>
      <w:r>
        <w:rPr>
          <w:rFonts w:hint="eastAsia" w:ascii="Times New Roman" w:hAnsi="Times New Roman" w:eastAsia="仿宋_GB2312" w:cs="楷体_GB2312"/>
          <w:sz w:val="32"/>
          <w:szCs w:val="32"/>
        </w:rPr>
        <w:t>，坚持以人为本、融合协同、创新驱动、智慧绿色的基本原则，进一步提升城市公共交通服务水平，增强城市公共交通竞争力和吸引力，推动城市公共交通实现高质量发展，有效支撑交通强国山东示范区和交通强省建设，更好满足人民群众的美好出行需求。</w:t>
      </w:r>
    </w:p>
    <w:p w14:paraId="1921E31D">
      <w:pPr>
        <w:spacing w:after="0" w:line="600" w:lineRule="exact"/>
        <w:ind w:firstLine="640" w:firstLineChars="200"/>
        <w:rPr>
          <w:rFonts w:ascii="仿宋_GB2312" w:hAnsi="Calibri" w:eastAsia="仿宋_GB2312" w:cs="Times New Roman"/>
          <w:snapToGrid w:val="0"/>
          <w:kern w:val="0"/>
          <w:sz w:val="32"/>
          <w:szCs w:val="32"/>
        </w:rPr>
      </w:pPr>
      <w:r>
        <w:rPr>
          <w:rFonts w:hint="eastAsia" w:ascii="仿宋_GB2312" w:hAnsi="Calibri" w:eastAsia="仿宋_GB2312" w:cs="Times New Roman"/>
          <w:snapToGrid w:val="0"/>
          <w:kern w:val="0"/>
          <w:sz w:val="32"/>
          <w:szCs w:val="32"/>
        </w:rPr>
        <w:t>至2030年，进一步强化城市公共交通在城市交通中的主导地位，公共交通引导城市发展能力、服务保障能力、可持续发展能力和综合治理能力显著提升，</w:t>
      </w:r>
      <w:r>
        <w:rPr>
          <w:rFonts w:hint="eastAsia" w:ascii="Times New Roman" w:hAnsi="Times New Roman" w:eastAsia="仿宋_GB2312" w:cs="楷体_GB2312"/>
          <w:sz w:val="32"/>
          <w:szCs w:val="32"/>
        </w:rPr>
        <w:t>实现好、维护好、发展好人民群众的基本出行权益，城市</w:t>
      </w:r>
      <w:r>
        <w:rPr>
          <w:rFonts w:hint="eastAsia" w:ascii="仿宋_GB2312" w:hAnsi="Calibri" w:eastAsia="仿宋_GB2312" w:cs="Times New Roman"/>
          <w:snapToGrid w:val="0"/>
          <w:kern w:val="0"/>
          <w:sz w:val="32"/>
          <w:szCs w:val="32"/>
        </w:rPr>
        <w:t>绿色出行比例提升至75%以上，</w:t>
      </w:r>
      <w:r>
        <w:rPr>
          <w:rFonts w:hint="eastAsia" w:ascii="Times New Roman" w:hAnsi="Times New Roman" w:eastAsia="仿宋_GB2312" w:cs="楷体_GB2312"/>
          <w:sz w:val="32"/>
          <w:szCs w:val="32"/>
        </w:rPr>
        <w:t>特大城市</w:t>
      </w:r>
      <w:r>
        <w:rPr>
          <w:rFonts w:hint="eastAsia" w:ascii="仿宋_GB2312" w:hAnsi="Calibri" w:eastAsia="仿宋_GB2312" w:cs="Times New Roman"/>
          <w:snapToGrid w:val="0"/>
          <w:kern w:val="0"/>
          <w:sz w:val="32"/>
          <w:szCs w:val="32"/>
        </w:rPr>
        <w:t>中心城区城市公共交通机动化出行分担率提升至50%以上，</w:t>
      </w:r>
      <w:r>
        <w:rPr>
          <w:rFonts w:hint="eastAsia" w:ascii="Times New Roman" w:hAnsi="Times New Roman" w:eastAsia="仿宋_GB2312" w:cs="楷体_GB2312"/>
          <w:sz w:val="32"/>
          <w:szCs w:val="32"/>
        </w:rPr>
        <w:t>大城市</w:t>
      </w:r>
      <w:r>
        <w:rPr>
          <w:rFonts w:hint="eastAsia" w:ascii="仿宋_GB2312" w:hAnsi="Calibri" w:eastAsia="仿宋_GB2312" w:cs="Times New Roman"/>
          <w:snapToGrid w:val="0"/>
          <w:kern w:val="0"/>
          <w:sz w:val="32"/>
          <w:szCs w:val="32"/>
        </w:rPr>
        <w:t>中心城区城市公共交通机动化出行分担率提升至40%以上，建设一批城市交通高质量发展示范区。</w:t>
      </w:r>
    </w:p>
    <w:p w14:paraId="44129A77">
      <w:pPr>
        <w:spacing w:after="0" w:line="600" w:lineRule="exact"/>
        <w:ind w:firstLine="640" w:firstLineChars="200"/>
        <w:rPr>
          <w:sz w:val="32"/>
          <w:szCs w:val="32"/>
        </w:rPr>
      </w:pPr>
      <w:r>
        <w:rPr>
          <w:rFonts w:hint="eastAsia" w:ascii="仿宋_GB2312" w:hAnsi="Calibri" w:eastAsia="仿宋_GB2312" w:cs="Times New Roman"/>
          <w:snapToGrid w:val="0"/>
          <w:kern w:val="0"/>
          <w:sz w:val="32"/>
          <w:szCs w:val="32"/>
        </w:rPr>
        <w:t>至2035年，基本</w:t>
      </w:r>
      <w:r>
        <w:rPr>
          <w:rFonts w:ascii="仿宋_GB2312" w:hAnsi="宋体" w:eastAsia="仿宋_GB2312" w:cs="仿宋_GB2312"/>
          <w:color w:val="000000"/>
          <w:kern w:val="0"/>
          <w:sz w:val="32"/>
          <w:szCs w:val="32"/>
          <w:lang w:bidi="ar"/>
        </w:rPr>
        <w:t>建成安全、便捷、高效、绿色、经济、包</w:t>
      </w:r>
      <w:r>
        <w:rPr>
          <w:rFonts w:hint="eastAsia" w:ascii="仿宋_GB2312" w:hAnsi="宋体" w:eastAsia="仿宋_GB2312" w:cs="仿宋_GB2312"/>
          <w:color w:val="000000"/>
          <w:kern w:val="0"/>
          <w:sz w:val="32"/>
          <w:szCs w:val="32"/>
          <w:lang w:bidi="ar"/>
        </w:rPr>
        <w:t>容、韧性的现代化城市公共交通体系，为率先建成</w:t>
      </w:r>
      <w:r>
        <w:rPr>
          <w:rFonts w:ascii="仿宋_GB2312" w:hAnsi="宋体" w:eastAsia="仿宋_GB2312" w:cs="仿宋_GB2312"/>
          <w:color w:val="000000"/>
          <w:kern w:val="0"/>
          <w:sz w:val="32"/>
          <w:szCs w:val="32"/>
          <w:lang w:bidi="ar"/>
        </w:rPr>
        <w:t>交通强国</w:t>
      </w:r>
      <w:r>
        <w:rPr>
          <w:rFonts w:hint="eastAsia" w:ascii="仿宋_GB2312" w:hAnsi="宋体" w:eastAsia="仿宋_GB2312" w:cs="仿宋_GB2312"/>
          <w:color w:val="000000"/>
          <w:kern w:val="0"/>
          <w:sz w:val="32"/>
          <w:szCs w:val="32"/>
          <w:lang w:bidi="ar"/>
        </w:rPr>
        <w:t>山东</w:t>
      </w:r>
      <w:r>
        <w:rPr>
          <w:rFonts w:ascii="仿宋_GB2312" w:hAnsi="宋体" w:eastAsia="仿宋_GB2312" w:cs="仿宋_GB2312"/>
          <w:color w:val="000000"/>
          <w:kern w:val="0"/>
          <w:sz w:val="32"/>
          <w:szCs w:val="32"/>
          <w:lang w:bidi="ar"/>
        </w:rPr>
        <w:t>示范区</w:t>
      </w:r>
      <w:r>
        <w:rPr>
          <w:rFonts w:hint="eastAsia" w:ascii="仿宋_GB2312" w:hAnsi="宋体" w:eastAsia="仿宋_GB2312" w:cs="仿宋_GB2312"/>
          <w:color w:val="000000"/>
          <w:kern w:val="0"/>
          <w:sz w:val="32"/>
          <w:szCs w:val="32"/>
          <w:lang w:bidi="ar"/>
        </w:rPr>
        <w:t>提供强力支撑。</w:t>
      </w:r>
    </w:p>
    <w:p w14:paraId="18BC9349">
      <w:pPr>
        <w:pStyle w:val="14"/>
        <w:spacing w:after="0"/>
        <w:ind w:firstLine="640"/>
        <w:outlineLvl w:val="0"/>
        <w:rPr>
          <w:rFonts w:ascii="黑体" w:hAnsi="黑体"/>
          <w:szCs w:val="32"/>
        </w:rPr>
      </w:pPr>
      <w:bookmarkStart w:id="0" w:name="_Hlk197895379"/>
      <w:r>
        <w:rPr>
          <w:rFonts w:hint="eastAsia" w:ascii="黑体" w:hAnsi="黑体"/>
          <w:szCs w:val="32"/>
        </w:rPr>
        <w:t>二、</w:t>
      </w:r>
      <w:bookmarkEnd w:id="0"/>
      <w:bookmarkStart w:id="1" w:name="OLE_LINK11"/>
      <w:r>
        <w:rPr>
          <w:rFonts w:hint="eastAsia" w:ascii="黑体" w:hAnsi="黑体"/>
          <w:szCs w:val="32"/>
        </w:rPr>
        <w:t>强化城市公共交通发展基础保障</w:t>
      </w:r>
    </w:p>
    <w:bookmarkEnd w:id="1"/>
    <w:p w14:paraId="156B1903">
      <w:pPr>
        <w:pStyle w:val="15"/>
        <w:spacing w:after="0"/>
        <w:ind w:firstLine="640"/>
        <w:rPr>
          <w:rFonts w:ascii="仿宋_GB2312" w:eastAsia="仿宋_GB2312"/>
          <w:szCs w:val="32"/>
        </w:rPr>
      </w:pPr>
      <w:r>
        <w:rPr>
          <w:rFonts w:hint="eastAsia" w:ascii="楷体_GB2312"/>
          <w:szCs w:val="32"/>
        </w:rPr>
        <w:t>（一）科学确定发展模式。</w:t>
      </w:r>
      <w:r>
        <w:rPr>
          <w:rFonts w:hint="eastAsia" w:ascii="仿宋_GB2312" w:eastAsia="仿宋_GB2312"/>
          <w:szCs w:val="32"/>
        </w:rPr>
        <w:t>各城市人民政府要因城施策，统筹考虑经济社会发展水平、出行规模等因素，科学确定城市公共交通系统构成和功能定位。特大城市确立以城市轨道交通为主体、城市公共汽电车为基础的</w:t>
      </w:r>
      <w:bookmarkStart w:id="2" w:name="OLE_LINK17"/>
      <w:r>
        <w:rPr>
          <w:rFonts w:hint="eastAsia" w:ascii="仿宋_GB2312" w:eastAsia="仿宋_GB2312"/>
          <w:szCs w:val="32"/>
        </w:rPr>
        <w:t>公共交通系统</w:t>
      </w:r>
      <w:bookmarkEnd w:id="2"/>
      <w:r>
        <w:rPr>
          <w:rFonts w:hint="eastAsia" w:ascii="仿宋_GB2312" w:eastAsia="仿宋_GB2312"/>
          <w:szCs w:val="32"/>
        </w:rPr>
        <w:t>，大城市发展以常规公交为主体的公共交通系统，中小城市构建城市公共交通和慢行交通协同发展的绿色出行体系。</w:t>
      </w:r>
      <w:r>
        <w:rPr>
          <w:rFonts w:hint="eastAsia" w:ascii="楷体_GB2312" w:hAnsi="楷体_GB2312" w:cs="楷体_GB2312"/>
          <w:szCs w:val="32"/>
        </w:rPr>
        <w:t>（牵头单位：省交通运输厅、省发展改革委，各城市人民政府，参与单位：省住房城乡建设厅。以下任务均需各城市人民政府落实，不再列出）</w:t>
      </w:r>
    </w:p>
    <w:p w14:paraId="48AB3220">
      <w:pPr>
        <w:pStyle w:val="15"/>
        <w:spacing w:after="0"/>
        <w:ind w:firstLine="640"/>
        <w:rPr>
          <w:rFonts w:ascii="楷体_GB2312" w:hAnsi="楷体_GB2312" w:cs="楷体_GB2312"/>
          <w:szCs w:val="32"/>
        </w:rPr>
      </w:pPr>
      <w:r>
        <w:rPr>
          <w:rFonts w:hint="eastAsia" w:ascii="楷体_GB2312"/>
          <w:szCs w:val="32"/>
        </w:rPr>
        <w:t>（二）持续强化规划引领。</w:t>
      </w:r>
      <w:bookmarkStart w:id="3" w:name="OLE_LINK2"/>
      <w:bookmarkStart w:id="4" w:name="OLE_LINK1"/>
      <w:r>
        <w:rPr>
          <w:rFonts w:hint="eastAsia" w:ascii="仿宋_GB2312" w:eastAsia="仿宋_GB2312"/>
          <w:szCs w:val="32"/>
        </w:rPr>
        <w:t>各城市人民政府</w:t>
      </w:r>
      <w:bookmarkEnd w:id="3"/>
      <w:bookmarkEnd w:id="4"/>
      <w:r>
        <w:rPr>
          <w:rFonts w:hint="eastAsia" w:ascii="仿宋_GB2312" w:eastAsia="仿宋_GB2312"/>
          <w:szCs w:val="32"/>
        </w:rPr>
        <w:t>应当统筹考虑城市发展和社会公众基本出行需要，组织编制和修编城市公共交通规划，纳入城市综合交通体系相关规划。贯彻公共交通引导城市发展理念（</w:t>
      </w:r>
      <w:r>
        <w:rPr>
          <w:rFonts w:ascii="仿宋_GB2312" w:eastAsia="仿宋_GB2312"/>
          <w:szCs w:val="32"/>
        </w:rPr>
        <w:t>TOD</w:t>
      </w:r>
      <w:r>
        <w:rPr>
          <w:rFonts w:hint="eastAsia" w:ascii="仿宋_GB2312" w:eastAsia="仿宋_GB2312"/>
          <w:szCs w:val="32"/>
        </w:rPr>
        <w:t>），强化公共交通对城市空间布局优化调整的引导和支撑。</w:t>
      </w:r>
      <w:bookmarkStart w:id="5" w:name="OLE_LINK15"/>
      <w:r>
        <w:rPr>
          <w:rFonts w:hint="eastAsia" w:ascii="仿宋_GB2312" w:eastAsia="仿宋_GB2312"/>
          <w:szCs w:val="32"/>
        </w:rPr>
        <w:t>在城市轨道交通和综合交通枢纽规划建设中，推进公共交通与生活圈、商业圈、产业圈等功能用地高度融合。</w:t>
      </w:r>
      <w:r>
        <w:rPr>
          <w:rFonts w:hint="eastAsia" w:ascii="楷体_GB2312" w:hAnsi="楷体_GB2312" w:cs="楷体_GB2312"/>
          <w:szCs w:val="32"/>
        </w:rPr>
        <w:t>（牵头单位：省交通运输厅，参与单位：省发展改革委、省自然资源厅、省住房和城乡建设厅）</w:t>
      </w:r>
    </w:p>
    <w:p w14:paraId="6AAECBA4">
      <w:pPr>
        <w:pStyle w:val="15"/>
        <w:spacing w:after="0"/>
        <w:ind w:firstLine="640"/>
        <w:rPr>
          <w:rFonts w:ascii="楷体_GB2312" w:hAnsi="楷体_GB2312" w:cs="楷体_GB2312"/>
          <w:szCs w:val="32"/>
        </w:rPr>
      </w:pPr>
      <w:r>
        <w:rPr>
          <w:rFonts w:hint="eastAsia" w:ascii="楷体_GB2312"/>
          <w:szCs w:val="32"/>
        </w:rPr>
        <w:t>（三）加强城市公共交通设施用地及配建保障。</w:t>
      </w:r>
      <w:r>
        <w:rPr>
          <w:rFonts w:hint="eastAsia" w:ascii="仿宋_GB2312" w:eastAsia="仿宋_GB2312"/>
          <w:szCs w:val="32"/>
        </w:rPr>
        <w:t>城市人民政府应当依法保障城市公共交通基础设施用地，在国土空间详细规划中统筹落实城市公共交通场站用地需求，提高节约集约水平。加强居住区、大型办公区、商业区、高校园区等重点区域公交首末站、枢纽站以及新能源公交车充电设施配建，做到同步规划、同步验收、同步交付使用。鼓励在老城区等用地受限区域打造公交微枢纽。在确保安全的前提下，允许现有的城市道路桥下空间免费或公益性收费提供给城市公交运营企业作为场站使用，以弥补城市中心区域城市公交场站供给缺口。</w:t>
      </w:r>
      <w:r>
        <w:rPr>
          <w:rFonts w:hint="eastAsia" w:ascii="楷体_GB2312" w:hAnsi="楷体_GB2312" w:cs="楷体_GB2312"/>
          <w:szCs w:val="32"/>
        </w:rPr>
        <w:t>（牵头单位：省自然资源厅，参与单位：省交通运输厅）</w:t>
      </w:r>
    </w:p>
    <w:p w14:paraId="4EC7407F">
      <w:pPr>
        <w:pStyle w:val="15"/>
        <w:numPr>
          <w:ilvl w:val="255"/>
          <w:numId w:val="0"/>
        </w:numPr>
        <w:spacing w:after="0"/>
        <w:ind w:firstLine="640" w:firstLineChars="200"/>
        <w:rPr>
          <w:rFonts w:ascii="楷体_GB2312"/>
          <w:szCs w:val="32"/>
        </w:rPr>
      </w:pPr>
      <w:r>
        <w:rPr>
          <w:rFonts w:hint="eastAsia" w:ascii="楷体_GB2312"/>
          <w:szCs w:val="32"/>
        </w:rPr>
        <w:t>（四）实施场站综合开发。</w:t>
      </w:r>
      <w:r>
        <w:rPr>
          <w:rFonts w:hint="eastAsia" w:ascii="仿宋_GB2312" w:eastAsia="仿宋_GB2312"/>
          <w:szCs w:val="32"/>
        </w:rPr>
        <w:t>积极推动新增用地综合开发，允许符合规定的新增城市公交枢纽场站配套一定比例的附属商业等面积。因地制宜实施既有用地综合开发，鼓励有条件的存量城市公共交通场站实施地上地下空间综合开发，根据设施功能分层设定建设用地使用权，建设具有商业功能的城市公共交通综合体。完善城市公共交通用地综合开发收益反哺机制，鼓励将用地综合开发的收益用于反哺城市公共交通运营企业经营和建设城市公共交通基础设施。</w:t>
      </w:r>
      <w:r>
        <w:rPr>
          <w:rFonts w:hint="eastAsia" w:ascii="楷体_GB2312" w:hAnsi="楷体_GB2312" w:cs="楷体_GB2312"/>
          <w:szCs w:val="32"/>
        </w:rPr>
        <w:t>（牵头单位：省交通运输厅，参与单位：省自然资源厅、省住房和城乡建设厅）</w:t>
      </w:r>
    </w:p>
    <w:p w14:paraId="4D0233E2">
      <w:pPr>
        <w:spacing w:after="0" w:line="600" w:lineRule="exact"/>
        <w:ind w:firstLine="640" w:firstLineChars="200"/>
        <w:rPr>
          <w:sz w:val="32"/>
          <w:szCs w:val="32"/>
        </w:rPr>
      </w:pPr>
      <w:r>
        <w:rPr>
          <w:rFonts w:hint="eastAsia" w:ascii="楷体_GB2312" w:hAnsi="Times New Roman" w:eastAsia="楷体_GB2312"/>
          <w:sz w:val="32"/>
          <w:szCs w:val="32"/>
        </w:rPr>
        <w:t>（五）加大优先路权保障力度。</w:t>
      </w:r>
      <w:r>
        <w:rPr>
          <w:rFonts w:hint="eastAsia" w:ascii="仿宋_GB2312" w:hAnsi="Times New Roman" w:eastAsia="仿宋_GB2312"/>
          <w:sz w:val="32"/>
          <w:szCs w:val="32"/>
        </w:rPr>
        <w:t>推进在中心城区、交通拥堵路段、公交线路和车次较为集中的道路设置公交专用道，切实保障公交优先通行权，提升城市公交运营时速和可靠性。统筹兼顾应急救助等需求，在保障公交运行速度的前提下，允许专用校车、大型营运客车等大运力载客车辆使用公交专用道。</w:t>
      </w:r>
      <w:r>
        <w:rPr>
          <w:rFonts w:hint="eastAsia" w:ascii="楷体_GB2312" w:hAnsi="楷体_GB2312" w:eastAsia="楷体_GB2312" w:cs="楷体_GB2312"/>
          <w:sz w:val="32"/>
          <w:szCs w:val="32"/>
        </w:rPr>
        <w:t>（牵头单位：省公安厅，参与单位：省教育厅、省住房和城乡建设厅、省交通运输厅、省应急管理厅）</w:t>
      </w:r>
    </w:p>
    <w:p w14:paraId="688D4695">
      <w:pPr>
        <w:pStyle w:val="14"/>
        <w:spacing w:after="0"/>
        <w:ind w:firstLine="640"/>
        <w:outlineLvl w:val="0"/>
        <w:rPr>
          <w:rFonts w:ascii="黑体" w:hAnsi="黑体"/>
          <w:szCs w:val="32"/>
        </w:rPr>
      </w:pPr>
      <w:r>
        <w:rPr>
          <w:rFonts w:hint="eastAsia" w:ascii="黑体" w:hAnsi="黑体"/>
          <w:szCs w:val="32"/>
        </w:rPr>
        <w:t>三、推动城市公共交通服务提质增效</w:t>
      </w:r>
    </w:p>
    <w:p w14:paraId="0ED9A809">
      <w:pPr>
        <w:spacing w:after="0" w:line="600" w:lineRule="exact"/>
        <w:ind w:firstLine="640" w:firstLineChars="200"/>
        <w:rPr>
          <w:rFonts w:ascii="楷体_GB2312" w:hAnsi="楷体_GB2312" w:eastAsia="楷体_GB2312" w:cs="楷体_GB2312"/>
          <w:sz w:val="32"/>
          <w:szCs w:val="32"/>
        </w:rPr>
      </w:pPr>
      <w:r>
        <w:rPr>
          <w:rFonts w:hint="eastAsia" w:ascii="楷体_GB2312" w:hAnsi="Times New Roman" w:eastAsia="楷体_GB2312"/>
          <w:sz w:val="32"/>
          <w:szCs w:val="32"/>
        </w:rPr>
        <w:t>（六）构建多层次公共交通网络体系。</w:t>
      </w:r>
      <w:r>
        <w:rPr>
          <w:rFonts w:hint="eastAsia" w:ascii="仿宋_GB2312" w:hAnsi="Times New Roman" w:eastAsia="仿宋_GB2312"/>
          <w:sz w:val="32"/>
          <w:szCs w:val="32"/>
        </w:rPr>
        <w:t>构建功能明确、协同高效的城市公共交通网络，建立完善线网动态评估和优化调整机制。支持城市公交企业充分利用运力资源，开通通勤、通学、就医、旅游、夜经济等特色线路。鼓励发展微循环公交服务，根据客流需求选用小型化车辆，提升城市公交进小区、园区、企业、学校、医院的延伸通达服务。在保障基本出行的前提下，鼓励结合客流分布特征，稳步规范发展定制公交。鼓励有条件的城市将城市公交线网向郊区、全域及毗邻城市（镇）拓展，提升公共服务均等化水平。</w:t>
      </w:r>
      <w:r>
        <w:rPr>
          <w:rFonts w:hint="eastAsia" w:ascii="楷体_GB2312" w:hAnsi="楷体_GB2312" w:eastAsia="楷体_GB2312" w:cs="楷体_GB2312"/>
          <w:sz w:val="32"/>
          <w:szCs w:val="32"/>
        </w:rPr>
        <w:t>（牵头单位：省交通运输厅，参与单位：省教育厅、省公安厅、省住房和城乡建设厅、省文化和旅游厅、</w:t>
      </w:r>
      <w:bookmarkStart w:id="6" w:name="OLE_LINK7"/>
      <w:r>
        <w:rPr>
          <w:rFonts w:hint="eastAsia" w:ascii="楷体_GB2312" w:hAnsi="楷体_GB2312" w:eastAsia="楷体_GB2312" w:cs="楷体_GB2312"/>
          <w:sz w:val="32"/>
          <w:szCs w:val="32"/>
        </w:rPr>
        <w:t>省卫生健康委</w:t>
      </w:r>
      <w:bookmarkEnd w:id="6"/>
      <w:r>
        <w:rPr>
          <w:rFonts w:hint="eastAsia" w:ascii="楷体_GB2312" w:hAnsi="楷体_GB2312" w:eastAsia="楷体_GB2312" w:cs="楷体_GB2312"/>
          <w:sz w:val="32"/>
          <w:szCs w:val="32"/>
        </w:rPr>
        <w:t>）</w:t>
      </w:r>
    </w:p>
    <w:p w14:paraId="4F1015F2">
      <w:pPr>
        <w:spacing w:after="0" w:line="600" w:lineRule="exact"/>
        <w:ind w:firstLine="640" w:firstLineChars="200"/>
        <w:rPr>
          <w:rFonts w:ascii="楷体_GB2312" w:hAnsi="楷体_GB2312" w:eastAsia="楷体_GB2312" w:cs="楷体_GB2312"/>
          <w:sz w:val="32"/>
          <w:szCs w:val="32"/>
        </w:rPr>
      </w:pPr>
      <w:r>
        <w:rPr>
          <w:rFonts w:hint="eastAsia" w:ascii="楷体_GB2312" w:hAnsi="Times New Roman" w:eastAsia="楷体_GB2312"/>
          <w:sz w:val="32"/>
          <w:szCs w:val="32"/>
        </w:rPr>
        <w:t>（七）促进公交、轨道、慢行三网融合发展。</w:t>
      </w:r>
      <w:r>
        <w:rPr>
          <w:rFonts w:hint="eastAsia" w:ascii="仿宋_GB2312" w:hAnsi="Times New Roman" w:eastAsia="仿宋_GB2312"/>
          <w:sz w:val="32"/>
          <w:szCs w:val="32"/>
        </w:rPr>
        <w:t>突出“接驳、补白、削峰”作用，及时优化调整轨道交通沿线公交线网，强化城市公交与轨道交通运营服务、换乘引导、信息服务、票制票价的一体化衔接，更好发挥公交轨道两网融合效应。新规划建设的轨道交通线路，沿线公交站点、线网优化配套方案同步研究、同步实施。加强轨道交通站点周边公交站点、慢行交通停车设施配套建设，新建轨道交通站点50米范围内原则上配套公交站点；有条件的既有轨道交通站点，通过改造落实50米范围内公交站点配套要求。鼓励各地因地制宜在轨道交通与周边公交站点之间设置风雨连廊，强化慢行交通与公共交通融合衔接。</w:t>
      </w:r>
      <w:r>
        <w:rPr>
          <w:rFonts w:hint="eastAsia" w:ascii="楷体_GB2312" w:hAnsi="楷体_GB2312" w:eastAsia="楷体_GB2312" w:cs="楷体_GB2312"/>
          <w:sz w:val="32"/>
          <w:szCs w:val="32"/>
        </w:rPr>
        <w:t>（牵头单位：省交通运输厅，参与单位：省发展改革委、省自然资源厅、省住房和城乡建设厅）</w:t>
      </w:r>
    </w:p>
    <w:p w14:paraId="3726B2FD">
      <w:pPr>
        <w:spacing w:after="0" w:line="600" w:lineRule="exact"/>
        <w:ind w:firstLine="640" w:firstLineChars="200"/>
        <w:rPr>
          <w:rFonts w:ascii="楷体_GB2312" w:hAnsi="楷体_GB2312" w:eastAsia="楷体_GB2312" w:cs="楷体_GB2312"/>
          <w:sz w:val="32"/>
          <w:szCs w:val="32"/>
        </w:rPr>
      </w:pPr>
      <w:r>
        <w:rPr>
          <w:rFonts w:hint="eastAsia" w:ascii="楷体_GB2312" w:hAnsi="Times New Roman" w:eastAsia="楷体_GB2312"/>
          <w:sz w:val="32"/>
          <w:szCs w:val="32"/>
        </w:rPr>
        <w:t>（八）</w:t>
      </w:r>
      <w:bookmarkStart w:id="7" w:name="OLE_LINK20"/>
      <w:r>
        <w:rPr>
          <w:rFonts w:hint="eastAsia" w:ascii="楷体_GB2312" w:hAnsi="Times New Roman" w:eastAsia="楷体_GB2312"/>
          <w:sz w:val="32"/>
          <w:szCs w:val="32"/>
        </w:rPr>
        <w:t>优化城市公共交通与对外枢纽的衔接融合</w:t>
      </w:r>
      <w:bookmarkEnd w:id="7"/>
      <w:r>
        <w:rPr>
          <w:rFonts w:hint="eastAsia" w:ascii="楷体_GB2312" w:hAnsi="Times New Roman" w:eastAsia="楷体_GB2312"/>
          <w:sz w:val="32"/>
          <w:szCs w:val="32"/>
        </w:rPr>
        <w:t>。</w:t>
      </w:r>
      <w:r>
        <w:rPr>
          <w:rFonts w:hint="eastAsia" w:ascii="仿宋_GB2312" w:hAnsi="Times New Roman" w:eastAsia="仿宋_GB2312"/>
          <w:sz w:val="32"/>
          <w:szCs w:val="32"/>
        </w:rPr>
        <w:t>提高对外交通枢纽城市公共交通衔接水平，推动枢纽内部多种交通方式无缝连接、安检互认。加强城市公共交通与铁路、航空等对外交通方式之间在运营时间、换乘引导、信息服务等方面的对接协同，促进一体化出行。</w:t>
      </w:r>
      <w:bookmarkStart w:id="8" w:name="OLE_LINK21"/>
      <w:r>
        <w:rPr>
          <w:rFonts w:hint="eastAsia" w:ascii="楷体_GB2312" w:hAnsi="楷体_GB2312" w:eastAsia="楷体_GB2312" w:cs="楷体_GB2312"/>
          <w:sz w:val="32"/>
          <w:szCs w:val="32"/>
        </w:rPr>
        <w:t>（牵头单位：省交通运输厅，</w:t>
      </w:r>
      <w:bookmarkEnd w:id="8"/>
      <w:r>
        <w:rPr>
          <w:rFonts w:hint="eastAsia" w:ascii="楷体_GB2312" w:hAnsi="楷体_GB2312" w:eastAsia="楷体_GB2312" w:cs="楷体_GB2312"/>
          <w:sz w:val="32"/>
          <w:szCs w:val="32"/>
        </w:rPr>
        <w:t>参与单位：省应急管理厅、国铁济南局、省机场管理集团、青岛国际机场集团）</w:t>
      </w:r>
    </w:p>
    <w:p w14:paraId="7AA7546E">
      <w:pPr>
        <w:pStyle w:val="2"/>
        <w:spacing w:after="0"/>
        <w:ind w:firstLine="640" w:firstLineChars="200"/>
        <w:rPr>
          <w:rFonts w:ascii="仿宋_GB2312" w:hAnsi="Times New Roman" w:eastAsia="仿宋_GB2312"/>
          <w:sz w:val="32"/>
          <w:szCs w:val="32"/>
        </w:rPr>
      </w:pPr>
      <w:r>
        <w:rPr>
          <w:rFonts w:hint="eastAsia" w:ascii="楷体_GB2312" w:hAnsi="Times New Roman" w:eastAsia="楷体_GB2312"/>
          <w:sz w:val="32"/>
          <w:szCs w:val="32"/>
        </w:rPr>
        <w:t>（九）提高运营服务质量和效率。</w:t>
      </w:r>
      <w:r>
        <w:rPr>
          <w:rFonts w:hint="eastAsia" w:ascii="仿宋_GB2312" w:hAnsi="Times New Roman" w:eastAsia="仿宋_GB2312"/>
          <w:sz w:val="32"/>
          <w:szCs w:val="32"/>
        </w:rPr>
        <w:t>各城市人民政府要明确城市公共交通运营服务标准规范，定期组织开展城市公共交通企业运营服务质量评价。督促城市公共交通企业遵守有关服务标准和规范要求，加强人员培训，提升从业人员素质和文明服务水平。加强运营调度管理，及时公开运营信息，提高运行准点率和运行效率，健全完善城市公共交通运营服务质量投诉处理机制。</w:t>
      </w:r>
      <w:r>
        <w:rPr>
          <w:rFonts w:hint="eastAsia" w:ascii="楷体_GB2312" w:hAnsi="楷体_GB2312" w:eastAsia="楷体_GB2312" w:cs="楷体_GB2312"/>
          <w:sz w:val="32"/>
          <w:szCs w:val="32"/>
        </w:rPr>
        <w:t>（牵头单位：省交通运输厅）</w:t>
      </w:r>
    </w:p>
    <w:p w14:paraId="62AD7816">
      <w:pPr>
        <w:spacing w:after="0" w:line="600" w:lineRule="exact"/>
        <w:ind w:firstLine="640" w:firstLineChars="200"/>
        <w:rPr>
          <w:rFonts w:ascii="仿宋_GB2312" w:hAnsi="Times New Roman" w:eastAsia="仿宋_GB2312"/>
          <w:sz w:val="32"/>
          <w:szCs w:val="32"/>
        </w:rPr>
      </w:pPr>
      <w:r>
        <w:rPr>
          <w:rFonts w:hint="eastAsia" w:ascii="楷体_GB2312" w:hAnsi="Times New Roman" w:eastAsia="楷体_GB2312"/>
          <w:sz w:val="32"/>
          <w:szCs w:val="32"/>
        </w:rPr>
        <w:t>（十）打造全龄友好公共交通出行环境。</w:t>
      </w:r>
      <w:r>
        <w:rPr>
          <w:rFonts w:hint="eastAsia" w:ascii="仿宋_GB2312" w:hAnsi="Times New Roman" w:eastAsia="仿宋_GB2312"/>
          <w:sz w:val="32"/>
          <w:szCs w:val="32"/>
        </w:rPr>
        <w:t>加快推动公交站台适老化、轨道交通上下车无障碍渡板和导乘系统改造，完善盲道、电梯、母婴室、第三卫生间等设施，逐步实现公交场站无障碍设施全覆盖。根据老年人、残疾人、儿童、外籍人员等特殊群体特点，从车站建设、车型设计、语音报站等服务细节方面不断改进城市公共交通服务品质。</w:t>
      </w:r>
      <w:r>
        <w:rPr>
          <w:rFonts w:hint="eastAsia" w:ascii="楷体_GB2312" w:hAnsi="楷体_GB2312" w:eastAsia="楷体_GB2312" w:cs="楷体_GB2312"/>
          <w:sz w:val="32"/>
          <w:szCs w:val="32"/>
        </w:rPr>
        <w:t>（牵头单位：省交通运输厅、省住房和城乡建设厅，参与单位：省市场监督管理局、省残联、</w:t>
      </w:r>
      <w:bookmarkStart w:id="9" w:name="OLE_LINK19"/>
      <w:bookmarkStart w:id="10" w:name="OLE_LINK22"/>
      <w:r>
        <w:rPr>
          <w:rFonts w:hint="eastAsia" w:ascii="楷体_GB2312" w:hAnsi="楷体_GB2312" w:eastAsia="楷体_GB2312" w:cs="楷体_GB2312"/>
          <w:sz w:val="32"/>
          <w:szCs w:val="32"/>
        </w:rPr>
        <w:t>省老龄委</w:t>
      </w:r>
      <w:bookmarkEnd w:id="9"/>
      <w:bookmarkEnd w:id="10"/>
      <w:r>
        <w:rPr>
          <w:rFonts w:hint="eastAsia" w:ascii="楷体_GB2312" w:hAnsi="楷体_GB2312" w:eastAsia="楷体_GB2312" w:cs="楷体_GB2312"/>
          <w:sz w:val="32"/>
          <w:szCs w:val="32"/>
        </w:rPr>
        <w:t>）</w:t>
      </w:r>
    </w:p>
    <w:p w14:paraId="33E4DE93">
      <w:pPr>
        <w:pStyle w:val="14"/>
        <w:spacing w:after="0"/>
        <w:ind w:firstLine="640"/>
        <w:outlineLvl w:val="0"/>
        <w:rPr>
          <w:rFonts w:ascii="黑体" w:hAnsi="黑体"/>
          <w:szCs w:val="32"/>
        </w:rPr>
      </w:pPr>
      <w:r>
        <w:rPr>
          <w:rFonts w:hint="eastAsia" w:ascii="黑体" w:hAnsi="黑体"/>
          <w:szCs w:val="32"/>
        </w:rPr>
        <w:t>四、创新城市公共交通智慧绿色安全发展</w:t>
      </w:r>
    </w:p>
    <w:p w14:paraId="6E3B8D88">
      <w:pPr>
        <w:pStyle w:val="15"/>
        <w:spacing w:after="0"/>
        <w:ind w:firstLine="640"/>
        <w:rPr>
          <w:rFonts w:ascii="仿宋_GB2312" w:eastAsia="仿宋_GB2312"/>
          <w:szCs w:val="32"/>
        </w:rPr>
      </w:pPr>
      <w:r>
        <w:rPr>
          <w:rFonts w:hint="eastAsia" w:ascii="楷体_GB2312"/>
          <w:szCs w:val="32"/>
        </w:rPr>
        <w:t>（十一）加快城市公共交通数字化转型。</w:t>
      </w:r>
      <w:r>
        <w:rPr>
          <w:rFonts w:hint="eastAsia" w:ascii="仿宋_GB2312" w:eastAsia="仿宋_GB2312"/>
          <w:szCs w:val="32"/>
        </w:rPr>
        <w:t>推进大数据、云计算、人工智能、车路协同等新兴技术在城市公共交通线网优化、运营调度、服务监管和行业管理等方面的应用，提高公共交通智能化发展水平。建设电子站牌、手机APP等智能终端，向公众提供实时动态城市公共交通信息服务。定期开展公众出行需求调查，对市民出行特征开展精准分析，持续优化公共交通服务网络。加快整合共享公共出行数据资源，构建MaaS（出行即服务）服务平台，深化拓展个性化线路规划、出行预约等服务功能，提供全链条、多方式、多场景的一体化出行服务。探索多种方式的数据资产开发利用模式。推进北斗卫星导航系统应用。</w:t>
      </w:r>
      <w:r>
        <w:rPr>
          <w:rFonts w:hint="eastAsia" w:ascii="楷体_GB2312" w:hAnsi="楷体_GB2312" w:cs="楷体_GB2312"/>
          <w:szCs w:val="32"/>
        </w:rPr>
        <w:t>（牵头单位：省交通运输厅、省大数据局）</w:t>
      </w:r>
    </w:p>
    <w:p w14:paraId="7DB19C54">
      <w:pPr>
        <w:pStyle w:val="15"/>
        <w:spacing w:after="0"/>
        <w:ind w:firstLine="640"/>
        <w:rPr>
          <w:rFonts w:ascii="仿宋_GB2312" w:eastAsia="仿宋_GB2312"/>
          <w:szCs w:val="32"/>
        </w:rPr>
      </w:pPr>
      <w:r>
        <w:rPr>
          <w:rFonts w:hint="eastAsia" w:ascii="楷体_GB2312"/>
          <w:szCs w:val="32"/>
        </w:rPr>
        <w:t>（十二）推进城市公共交通绿色低碳发展。</w:t>
      </w:r>
      <w:r>
        <w:rPr>
          <w:rFonts w:hint="eastAsia" w:ascii="仿宋_GB2312" w:eastAsia="仿宋_GB2312"/>
          <w:szCs w:val="32"/>
        </w:rPr>
        <w:t>加快推进城市公交车电动化，除应急救援车辆外，新增更新车辆全部为新能源车辆，同步建设充电站（桩）配套设施。</w:t>
      </w:r>
      <w:r>
        <w:rPr>
          <w:rFonts w:hint="eastAsia" w:ascii="仿宋_GB2312" w:hAnsi="仿宋_GB2312" w:eastAsia="仿宋_GB2312" w:cs="仿宋_GB2312"/>
          <w:szCs w:val="32"/>
          <w:shd w:val="clear" w:color="auto" w:fill="FFFFFF"/>
        </w:rPr>
        <w:t>支持利用云储能、能源互联网等技术，结合城市公共交通场景用能需求，搭建智能微电网。</w:t>
      </w:r>
      <w:r>
        <w:rPr>
          <w:rFonts w:hint="eastAsia" w:ascii="仿宋_GB2312" w:eastAsia="仿宋_GB2312"/>
          <w:szCs w:val="32"/>
        </w:rPr>
        <w:t>依托城市公共交通基础设施用能场景，聚合光伏、储能、充电设施等可调节资源，探索城市公共交通场景虚拟电厂建设运行模式。引导城市公共交通企业开展碳排放数据收集与管理，积极参与碳普惠、碳交易。</w:t>
      </w:r>
      <w:r>
        <w:rPr>
          <w:rFonts w:hint="eastAsia" w:ascii="楷体_GB2312" w:hAnsi="楷体_GB2312" w:cs="楷体_GB2312"/>
          <w:szCs w:val="32"/>
        </w:rPr>
        <w:t>（牵头单位：省交通运输厅，参与单位：</w:t>
      </w:r>
      <w:bookmarkStart w:id="11" w:name="OLE_LINK8"/>
      <w:bookmarkStart w:id="12" w:name="OLE_LINK9"/>
      <w:r>
        <w:rPr>
          <w:rFonts w:hint="eastAsia" w:ascii="楷体_GB2312" w:hAnsi="楷体_GB2312" w:cs="楷体_GB2312"/>
          <w:szCs w:val="32"/>
        </w:rPr>
        <w:t>省工业和信息化厅</w:t>
      </w:r>
      <w:bookmarkEnd w:id="11"/>
      <w:bookmarkEnd w:id="12"/>
      <w:r>
        <w:rPr>
          <w:rFonts w:hint="eastAsia" w:ascii="楷体_GB2312" w:hAnsi="楷体_GB2312" w:cs="楷体_GB2312"/>
          <w:szCs w:val="32"/>
        </w:rPr>
        <w:t>、省财政厅、省生态环境厅、</w:t>
      </w:r>
      <w:bookmarkStart w:id="13" w:name="OLE_LINK24"/>
      <w:bookmarkStart w:id="14" w:name="OLE_LINK23"/>
      <w:r>
        <w:rPr>
          <w:rFonts w:hint="eastAsia" w:ascii="楷体_GB2312" w:hAnsi="楷体_GB2312" w:cs="楷体_GB2312"/>
          <w:szCs w:val="32"/>
        </w:rPr>
        <w:t>省住房</w:t>
      </w:r>
      <w:bookmarkStart w:id="15" w:name="OLE_LINK26"/>
      <w:bookmarkStart w:id="16" w:name="OLE_LINK25"/>
      <w:r>
        <w:rPr>
          <w:rFonts w:hint="eastAsia" w:ascii="楷体_GB2312" w:hAnsi="楷体_GB2312" w:cs="楷体_GB2312"/>
          <w:szCs w:val="32"/>
        </w:rPr>
        <w:t>和</w:t>
      </w:r>
      <w:bookmarkEnd w:id="15"/>
      <w:bookmarkEnd w:id="16"/>
      <w:r>
        <w:rPr>
          <w:rFonts w:hint="eastAsia" w:ascii="楷体_GB2312" w:hAnsi="楷体_GB2312" w:cs="楷体_GB2312"/>
          <w:szCs w:val="32"/>
        </w:rPr>
        <w:t>城乡建设厅</w:t>
      </w:r>
      <w:bookmarkEnd w:id="13"/>
      <w:bookmarkEnd w:id="14"/>
      <w:bookmarkStart w:id="17" w:name="OLE_LINK10"/>
      <w:bookmarkStart w:id="18" w:name="OLE_LINK12"/>
      <w:r>
        <w:rPr>
          <w:rFonts w:hint="eastAsia" w:ascii="楷体_GB2312" w:hAnsi="楷体_GB2312" w:cs="楷体_GB2312"/>
          <w:szCs w:val="32"/>
        </w:rPr>
        <w:t>、省能源局</w:t>
      </w:r>
      <w:bookmarkEnd w:id="17"/>
      <w:bookmarkEnd w:id="18"/>
      <w:r>
        <w:rPr>
          <w:rFonts w:hint="eastAsia" w:ascii="楷体_GB2312" w:hAnsi="楷体_GB2312" w:cs="楷体_GB2312"/>
          <w:szCs w:val="32"/>
        </w:rPr>
        <w:t>）</w:t>
      </w:r>
    </w:p>
    <w:p w14:paraId="21C74185">
      <w:pPr>
        <w:pStyle w:val="15"/>
        <w:numPr>
          <w:ilvl w:val="255"/>
          <w:numId w:val="0"/>
        </w:numPr>
        <w:spacing w:after="0"/>
        <w:ind w:firstLine="640" w:firstLineChars="200"/>
        <w:rPr>
          <w:rFonts w:ascii="楷体_GB2312" w:hAnsi="楷体_GB2312" w:cs="楷体_GB2312"/>
          <w:szCs w:val="32"/>
        </w:rPr>
      </w:pPr>
      <w:r>
        <w:rPr>
          <w:rFonts w:hint="eastAsia" w:ascii="楷体_GB2312"/>
          <w:szCs w:val="32"/>
        </w:rPr>
        <w:t>（十三）提升城市公共交通安全韧性水平。</w:t>
      </w:r>
      <w:r>
        <w:rPr>
          <w:rFonts w:hint="eastAsia" w:ascii="仿宋_GB2312" w:eastAsia="仿宋_GB2312"/>
          <w:szCs w:val="32"/>
        </w:rPr>
        <w:t>压实城市公共交通运营企业安全生产主体责任，建立健全企业全员岗位安全生产责任清单，强化安全生产风险分级管控和隐患排查治理双重预防机制建设。定期开展体检和心理健康辅导，关心关爱从业人员身心健康。建立城市公共交通从业人员工资收入正常增长机制，按不低于城镇非私营单位从业人员在岗职工年平均工资确定驾驶员工资收入水平。强化大客流管控，加强重点车站客流监测和分析研判，明确大客流控制预警、风险管控措施及解除条件。加强列车智能巡检机器人等智能安防技术创新应用。建立上下联动、多方协调的城市公共交通安全应急管理体制，健全应急管理制度和预案体系。</w:t>
      </w:r>
      <w:r>
        <w:rPr>
          <w:rFonts w:hint="eastAsia" w:ascii="楷体_GB2312" w:hAnsi="楷体_GB2312" w:cs="楷体_GB2312"/>
          <w:szCs w:val="32"/>
        </w:rPr>
        <w:t>（牵头单位：省交通运输厅，参与单位：</w:t>
      </w:r>
      <w:bookmarkStart w:id="19" w:name="OLE_LINK13"/>
      <w:bookmarkStart w:id="20" w:name="OLE_LINK14"/>
      <w:r>
        <w:rPr>
          <w:rFonts w:hint="eastAsia" w:ascii="楷体_GB2312" w:hAnsi="楷体_GB2312" w:cs="楷体_GB2312"/>
          <w:szCs w:val="32"/>
        </w:rPr>
        <w:t>省人力资源社会保障厅</w:t>
      </w:r>
      <w:bookmarkEnd w:id="19"/>
      <w:bookmarkEnd w:id="20"/>
      <w:r>
        <w:rPr>
          <w:rFonts w:hint="eastAsia" w:ascii="楷体_GB2312" w:hAnsi="楷体_GB2312" w:cs="楷体_GB2312"/>
          <w:szCs w:val="32"/>
        </w:rPr>
        <w:t>、省卫生健康委、省应急管理厅、省总工会）</w:t>
      </w:r>
    </w:p>
    <w:p w14:paraId="5CF83AA8">
      <w:pPr>
        <w:pStyle w:val="15"/>
        <w:numPr>
          <w:ilvl w:val="255"/>
          <w:numId w:val="0"/>
        </w:numPr>
        <w:spacing w:after="0"/>
        <w:ind w:firstLine="640" w:firstLineChars="200"/>
        <w:rPr>
          <w:rFonts w:ascii="楷体_GB2312" w:hAnsi="楷体_GB2312" w:cs="楷体_GB2312"/>
          <w:szCs w:val="32"/>
        </w:rPr>
      </w:pPr>
      <w:r>
        <w:rPr>
          <w:rFonts w:hint="eastAsia" w:ascii="楷体_GB2312"/>
          <w:szCs w:val="32"/>
        </w:rPr>
        <w:t>（十四）优化需求管理。</w:t>
      </w:r>
      <w:r>
        <w:rPr>
          <w:rFonts w:hint="eastAsia" w:ascii="仿宋_GB2312" w:eastAsia="仿宋_GB2312"/>
          <w:szCs w:val="32"/>
        </w:rPr>
        <w:t>持续推进交通拥堵治理，进一步完善常态化治堵工作机制。研究以经济杠杆和碳减排控制为主要手段的交通需求管理政策，降低小汽车在拥堵区域的使用强度，引导个体交通方式向城市公共交通方式转移。</w:t>
      </w:r>
      <w:r>
        <w:rPr>
          <w:rFonts w:hint="eastAsia" w:ascii="楷体_GB2312" w:hAnsi="楷体_GB2312" w:cs="楷体_GB2312"/>
          <w:szCs w:val="32"/>
        </w:rPr>
        <w:t>（牵头单位：省公安厅，参与单位：省交通运输厅）</w:t>
      </w:r>
    </w:p>
    <w:p w14:paraId="742960A8">
      <w:pPr>
        <w:pStyle w:val="14"/>
        <w:spacing w:after="0"/>
        <w:ind w:firstLine="640"/>
        <w:outlineLvl w:val="0"/>
        <w:rPr>
          <w:rFonts w:ascii="黑体" w:hAnsi="黑体"/>
          <w:szCs w:val="32"/>
        </w:rPr>
      </w:pPr>
      <w:r>
        <w:rPr>
          <w:rFonts w:hint="eastAsia" w:ascii="黑体" w:hAnsi="黑体"/>
          <w:szCs w:val="32"/>
        </w:rPr>
        <w:t>五、提高城市公共交通可持续发展能力</w:t>
      </w:r>
    </w:p>
    <w:p w14:paraId="726E08F6">
      <w:pPr>
        <w:pStyle w:val="15"/>
        <w:numPr>
          <w:ilvl w:val="255"/>
          <w:numId w:val="0"/>
        </w:numPr>
        <w:spacing w:after="0"/>
        <w:ind w:firstLine="640" w:firstLineChars="200"/>
        <w:rPr>
          <w:rFonts w:ascii="楷体_GB2312"/>
          <w:szCs w:val="32"/>
        </w:rPr>
      </w:pPr>
      <w:r>
        <w:rPr>
          <w:rFonts w:hint="eastAsia" w:ascii="楷体_GB2312"/>
          <w:szCs w:val="32"/>
        </w:rPr>
        <w:t>（十五）支持企业创新经营方式。</w:t>
      </w:r>
      <w:r>
        <w:rPr>
          <w:rFonts w:hint="eastAsia" w:ascii="仿宋_GB2312" w:eastAsia="仿宋_GB2312"/>
          <w:szCs w:val="32"/>
        </w:rPr>
        <w:t>在保障基本城市公共交通服务的前提下，支持城市公共交通运营企业围绕主业链条，积极开拓增值服务。支持发展“公交+”服务模式，推动城市公交企业以市场化运作方式发展城市旅游观光巴士。支持城市公共交通运营企业拓展站台、车身、车厢内等广告业务。在保障安全运营的前提下，面向社会开放加气、加油、充电、维修等服务。</w:t>
      </w:r>
      <w:r>
        <w:rPr>
          <w:rFonts w:hint="eastAsia" w:ascii="楷体_GB2312" w:hAnsi="楷体_GB2312" w:cs="楷体_GB2312"/>
          <w:szCs w:val="32"/>
        </w:rPr>
        <w:t>（牵头单位：省交通运输厅，参与单位：省文化和旅游厅、省国资委、省能源局）</w:t>
      </w:r>
    </w:p>
    <w:p w14:paraId="025AAFFF">
      <w:pPr>
        <w:pStyle w:val="15"/>
        <w:numPr>
          <w:ilvl w:val="255"/>
          <w:numId w:val="0"/>
        </w:numPr>
        <w:spacing w:after="0"/>
        <w:ind w:firstLine="640" w:firstLineChars="200"/>
        <w:rPr>
          <w:szCs w:val="32"/>
        </w:rPr>
      </w:pPr>
      <w:r>
        <w:rPr>
          <w:rFonts w:hint="eastAsia" w:ascii="楷体_GB2312"/>
          <w:szCs w:val="32"/>
        </w:rPr>
        <w:t>（十六）落实财政补贴补偿。</w:t>
      </w:r>
      <w:bookmarkStart w:id="21" w:name="OLE_LINK3"/>
      <w:bookmarkStart w:id="22" w:name="OLE_LINK4"/>
      <w:r>
        <w:rPr>
          <w:rFonts w:hint="eastAsia" w:ascii="仿宋_GB2312" w:eastAsia="仿宋_GB2312"/>
          <w:szCs w:val="32"/>
        </w:rPr>
        <w:t>城市人民政府</w:t>
      </w:r>
      <w:bookmarkEnd w:id="21"/>
      <w:bookmarkEnd w:id="22"/>
      <w:r>
        <w:rPr>
          <w:rFonts w:hint="eastAsia" w:ascii="仿宋_GB2312" w:eastAsia="仿宋_GB2312"/>
          <w:szCs w:val="32"/>
        </w:rPr>
        <w:t>压紧压实城市公共交通的地方主体责任，落实好城市公共交通作为市县级财政事权的支出责任，将所需经费纳入本级预算。进一步完善成本费用核算、运营服务质量评价及常态化补贴补偿机制，根据考核结果，各级财政补贴应按时足额拨付。</w:t>
      </w:r>
      <w:r>
        <w:rPr>
          <w:rFonts w:hint="eastAsia" w:ascii="楷体_GB2312" w:hAnsi="楷体_GB2312" w:cs="楷体_GB2312"/>
          <w:szCs w:val="32"/>
        </w:rPr>
        <w:t>（牵头单位：省财政厅，参与单位：</w:t>
      </w:r>
      <w:bookmarkStart w:id="23" w:name="OLE_LINK18"/>
      <w:bookmarkStart w:id="24" w:name="OLE_LINK16"/>
      <w:r>
        <w:rPr>
          <w:rFonts w:hint="eastAsia" w:ascii="楷体_GB2312" w:hAnsi="楷体_GB2312" w:cs="楷体_GB2312"/>
          <w:szCs w:val="32"/>
        </w:rPr>
        <w:t>省交通运输厅、省审计厅</w:t>
      </w:r>
      <w:bookmarkEnd w:id="23"/>
      <w:bookmarkEnd w:id="24"/>
      <w:r>
        <w:rPr>
          <w:rFonts w:hint="eastAsia" w:ascii="楷体_GB2312" w:hAnsi="楷体_GB2312" w:cs="楷体_GB2312"/>
          <w:szCs w:val="32"/>
        </w:rPr>
        <w:t>）</w:t>
      </w:r>
    </w:p>
    <w:p w14:paraId="6C1E6908">
      <w:pPr>
        <w:pStyle w:val="15"/>
        <w:numPr>
          <w:ilvl w:val="255"/>
          <w:numId w:val="0"/>
        </w:numPr>
        <w:spacing w:after="0"/>
        <w:ind w:firstLine="640" w:firstLineChars="200"/>
        <w:rPr>
          <w:szCs w:val="32"/>
        </w:rPr>
      </w:pPr>
      <w:r>
        <w:rPr>
          <w:rFonts w:hint="eastAsia" w:ascii="楷体_GB2312"/>
          <w:szCs w:val="32"/>
        </w:rPr>
        <w:t>（十七）完善价格机制。</w:t>
      </w:r>
      <w:bookmarkStart w:id="25" w:name="OLE_LINK5"/>
      <w:bookmarkStart w:id="26" w:name="OLE_LINK6"/>
      <w:r>
        <w:rPr>
          <w:rFonts w:hint="eastAsia" w:ascii="仿宋_GB2312" w:eastAsia="仿宋_GB2312"/>
          <w:szCs w:val="32"/>
        </w:rPr>
        <w:t>各城市人民政府</w:t>
      </w:r>
      <w:bookmarkEnd w:id="25"/>
      <w:bookmarkEnd w:id="26"/>
      <w:r>
        <w:rPr>
          <w:rFonts w:hint="eastAsia" w:ascii="仿宋_GB2312" w:eastAsia="仿宋_GB2312"/>
          <w:szCs w:val="32"/>
        </w:rPr>
        <w:t>要合理确定城市公共交通价格补偿和财政补偿范围，建立城市公共交通价格定期评估和动态调整机制。鼓励根据城市公共交通服务质量、运输距离以及换乘方式等因素，建立多层次、差别化的城市公共交通票价体系。城市公共交通票价依法实行政府定价或者政府指导价，定制公交等线路实行政府指导价或市场调节价，远郊等长距离城市公交运营线路，可探索采用按里程计价方式。</w:t>
      </w:r>
      <w:r>
        <w:rPr>
          <w:rFonts w:hint="eastAsia" w:ascii="楷体_GB2312" w:hAnsi="楷体_GB2312" w:cs="楷体_GB2312"/>
          <w:szCs w:val="32"/>
        </w:rPr>
        <w:t>（牵头单位：省发展改革委，参与单位：省财政厅、省交通运输厅）</w:t>
      </w:r>
    </w:p>
    <w:p w14:paraId="3435F19D">
      <w:pPr>
        <w:pStyle w:val="15"/>
        <w:numPr>
          <w:ilvl w:val="255"/>
          <w:numId w:val="0"/>
        </w:numPr>
        <w:spacing w:after="0"/>
        <w:ind w:firstLine="640" w:firstLineChars="200"/>
        <w:rPr>
          <w:rFonts w:ascii="楷体_GB2312"/>
          <w:szCs w:val="32"/>
        </w:rPr>
      </w:pPr>
      <w:r>
        <w:rPr>
          <w:rFonts w:hint="eastAsia" w:ascii="楷体_GB2312"/>
          <w:szCs w:val="32"/>
        </w:rPr>
        <w:t>（十八）加强金融支持。</w:t>
      </w:r>
      <w:r>
        <w:rPr>
          <w:rFonts w:hint="eastAsia" w:ascii="仿宋_GB2312" w:eastAsia="仿宋_GB2312"/>
          <w:szCs w:val="32"/>
        </w:rPr>
        <w:t>加强银企合作，创新金融服务，鼓励有条件的城市公共交通运营企业采用发行专项债、中期票据等多元化融资方式，拓宽融资渠道。鼓励金融机构在依法合规、风险可控的前提下，以市场化为导向改进授信评价机制，为城市公共交通企业提供融资服务，严禁违规新增地方政府隐性债务。鼓励各地通过土地性质变更、划拨公益性资产等方式，壮大城市公共交通企业资产规模，优化资产结构，提高融资能力。</w:t>
      </w:r>
      <w:r>
        <w:rPr>
          <w:rFonts w:hint="eastAsia" w:ascii="楷体_GB2312" w:hAnsi="楷体_GB2312" w:cs="楷体_GB2312"/>
          <w:szCs w:val="32"/>
        </w:rPr>
        <w:t>（牵头单位：省财政厅、省地方金融监督管理局，参与单位：省发展改革委、省交通运输厅）</w:t>
      </w:r>
    </w:p>
    <w:p w14:paraId="340F6E06">
      <w:pPr>
        <w:pStyle w:val="14"/>
        <w:spacing w:after="0"/>
        <w:ind w:firstLine="640"/>
        <w:outlineLvl w:val="0"/>
        <w:rPr>
          <w:rFonts w:ascii="黑体" w:hAnsi="黑体"/>
          <w:szCs w:val="32"/>
        </w:rPr>
      </w:pPr>
      <w:r>
        <w:rPr>
          <w:rFonts w:hint="eastAsia" w:ascii="黑体" w:hAnsi="黑体"/>
          <w:szCs w:val="32"/>
        </w:rPr>
        <w:t>六、保障措施</w:t>
      </w:r>
    </w:p>
    <w:p w14:paraId="6CEF8860">
      <w:pPr>
        <w:pStyle w:val="15"/>
        <w:numPr>
          <w:ilvl w:val="255"/>
          <w:numId w:val="0"/>
        </w:numPr>
        <w:spacing w:after="0"/>
        <w:ind w:firstLine="640" w:firstLineChars="200"/>
        <w:rPr>
          <w:rFonts w:ascii="楷体_GB2312"/>
          <w:szCs w:val="32"/>
        </w:rPr>
      </w:pPr>
      <w:r>
        <w:rPr>
          <w:rFonts w:hint="eastAsia" w:ascii="楷体_GB2312"/>
          <w:szCs w:val="32"/>
        </w:rPr>
        <w:t>（十九）加强组织领导和示范引领。</w:t>
      </w:r>
      <w:r>
        <w:rPr>
          <w:rFonts w:hint="eastAsia" w:ascii="仿宋_GB2312" w:eastAsia="仿宋_GB2312"/>
          <w:szCs w:val="32"/>
        </w:rPr>
        <w:t>各城市人民政府要切实履行城市公共交通行业发展主体责任，建立健全工作机制，结合本指导意见以及本地区实际进一步研究出台推动公共交通高质量发展的具体政策措施。加强宣传引导，广泛动员社会各界积极参与绿色出行</w:t>
      </w:r>
      <w:r>
        <w:rPr>
          <w:rFonts w:hint="eastAsia" w:ascii="楷体_GB2312"/>
          <w:szCs w:val="32"/>
        </w:rPr>
        <w:t>。</w:t>
      </w:r>
      <w:r>
        <w:rPr>
          <w:rFonts w:hint="eastAsia" w:ascii="仿宋_GB2312" w:eastAsia="仿宋_GB2312"/>
          <w:szCs w:val="32"/>
        </w:rPr>
        <w:t>支持符合条件的城市开展城市交通高质量发展示范区创建工作，强化对创建工作的政策支持，充分调动创建城市积极性。加强动态评估和运行监测，引导城市政府加大城市公共交通投入，形成一批可复制、可推广的典型经验。</w:t>
      </w:r>
      <w:r>
        <w:rPr>
          <w:rFonts w:hint="eastAsia" w:ascii="楷体_GB2312" w:hAnsi="楷体_GB2312" w:cs="楷体_GB2312"/>
          <w:szCs w:val="32"/>
        </w:rPr>
        <w:t>（牵头单位：省交通运输厅，参与单位：省委宣传部）</w:t>
      </w:r>
      <w:bookmarkEnd w:id="5"/>
    </w:p>
    <w:sectPr>
      <w:footerReference r:id="rId5" w:type="default"/>
      <w:pgSz w:w="11906" w:h="16838"/>
      <w:pgMar w:top="1701" w:right="1531" w:bottom="1701" w:left="1531" w:header="851" w:footer="1417"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FC948">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474ACF">
                          <w:pPr>
                            <w:pStyle w:val="4"/>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6</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2474ACF">
                    <w:pPr>
                      <w:pStyle w:val="4"/>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6</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4DD5"/>
    <w:rsid w:val="000174FF"/>
    <w:rsid w:val="00020F55"/>
    <w:rsid w:val="0007152D"/>
    <w:rsid w:val="000B3CB9"/>
    <w:rsid w:val="000B5673"/>
    <w:rsid w:val="000E387D"/>
    <w:rsid w:val="00106217"/>
    <w:rsid w:val="001129CF"/>
    <w:rsid w:val="001177D2"/>
    <w:rsid w:val="00166964"/>
    <w:rsid w:val="00172A27"/>
    <w:rsid w:val="0017640F"/>
    <w:rsid w:val="0018337F"/>
    <w:rsid w:val="001A0F57"/>
    <w:rsid w:val="001A69D1"/>
    <w:rsid w:val="001D3559"/>
    <w:rsid w:val="001D5828"/>
    <w:rsid w:val="001E2F8E"/>
    <w:rsid w:val="00230960"/>
    <w:rsid w:val="00236D77"/>
    <w:rsid w:val="0024457F"/>
    <w:rsid w:val="0028151E"/>
    <w:rsid w:val="002A1620"/>
    <w:rsid w:val="002C2BCB"/>
    <w:rsid w:val="002D63E1"/>
    <w:rsid w:val="002F1239"/>
    <w:rsid w:val="002F4175"/>
    <w:rsid w:val="00312D9B"/>
    <w:rsid w:val="00315767"/>
    <w:rsid w:val="003244B5"/>
    <w:rsid w:val="00347A94"/>
    <w:rsid w:val="00357012"/>
    <w:rsid w:val="00392355"/>
    <w:rsid w:val="003C4EB0"/>
    <w:rsid w:val="003D7DF7"/>
    <w:rsid w:val="00405262"/>
    <w:rsid w:val="004237D9"/>
    <w:rsid w:val="00441F39"/>
    <w:rsid w:val="00470ABF"/>
    <w:rsid w:val="00471038"/>
    <w:rsid w:val="00473F62"/>
    <w:rsid w:val="004A2DE4"/>
    <w:rsid w:val="004A70D6"/>
    <w:rsid w:val="004B757C"/>
    <w:rsid w:val="004C1750"/>
    <w:rsid w:val="004D451A"/>
    <w:rsid w:val="004E5556"/>
    <w:rsid w:val="00507E5A"/>
    <w:rsid w:val="0051356B"/>
    <w:rsid w:val="005152F7"/>
    <w:rsid w:val="00516C8B"/>
    <w:rsid w:val="00533D38"/>
    <w:rsid w:val="005400F6"/>
    <w:rsid w:val="00574C64"/>
    <w:rsid w:val="005A0B7C"/>
    <w:rsid w:val="005C18F4"/>
    <w:rsid w:val="005D0713"/>
    <w:rsid w:val="005E6670"/>
    <w:rsid w:val="00617168"/>
    <w:rsid w:val="006354E7"/>
    <w:rsid w:val="0065164E"/>
    <w:rsid w:val="0066795B"/>
    <w:rsid w:val="00692D21"/>
    <w:rsid w:val="006B1759"/>
    <w:rsid w:val="006D18C2"/>
    <w:rsid w:val="00703AE7"/>
    <w:rsid w:val="007621BC"/>
    <w:rsid w:val="00771A7C"/>
    <w:rsid w:val="00783010"/>
    <w:rsid w:val="007A4852"/>
    <w:rsid w:val="007B5414"/>
    <w:rsid w:val="007C2CA7"/>
    <w:rsid w:val="007C6345"/>
    <w:rsid w:val="007C72CC"/>
    <w:rsid w:val="007E23D2"/>
    <w:rsid w:val="007E55ED"/>
    <w:rsid w:val="0083337B"/>
    <w:rsid w:val="0083716E"/>
    <w:rsid w:val="00847AFE"/>
    <w:rsid w:val="00850BC6"/>
    <w:rsid w:val="008644D0"/>
    <w:rsid w:val="00866211"/>
    <w:rsid w:val="00880C89"/>
    <w:rsid w:val="008A3719"/>
    <w:rsid w:val="008B0BA8"/>
    <w:rsid w:val="008B56EF"/>
    <w:rsid w:val="008C2247"/>
    <w:rsid w:val="008D082E"/>
    <w:rsid w:val="00902A23"/>
    <w:rsid w:val="009601C2"/>
    <w:rsid w:val="0098265E"/>
    <w:rsid w:val="00996064"/>
    <w:rsid w:val="009A1A7B"/>
    <w:rsid w:val="009A5F20"/>
    <w:rsid w:val="009E01A5"/>
    <w:rsid w:val="00A0139E"/>
    <w:rsid w:val="00A179C9"/>
    <w:rsid w:val="00A345BD"/>
    <w:rsid w:val="00A47A4F"/>
    <w:rsid w:val="00A620E0"/>
    <w:rsid w:val="00AA0622"/>
    <w:rsid w:val="00AA164B"/>
    <w:rsid w:val="00AB0E8B"/>
    <w:rsid w:val="00AB4AC9"/>
    <w:rsid w:val="00AB5651"/>
    <w:rsid w:val="00AC4811"/>
    <w:rsid w:val="00AE405F"/>
    <w:rsid w:val="00B0135D"/>
    <w:rsid w:val="00B31AD6"/>
    <w:rsid w:val="00B53263"/>
    <w:rsid w:val="00B808AB"/>
    <w:rsid w:val="00B8726B"/>
    <w:rsid w:val="00BB1623"/>
    <w:rsid w:val="00BB57D6"/>
    <w:rsid w:val="00BF3BFF"/>
    <w:rsid w:val="00C07328"/>
    <w:rsid w:val="00C17F58"/>
    <w:rsid w:val="00C35655"/>
    <w:rsid w:val="00C844E9"/>
    <w:rsid w:val="00CB29CA"/>
    <w:rsid w:val="00CB313E"/>
    <w:rsid w:val="00CD1184"/>
    <w:rsid w:val="00CE7792"/>
    <w:rsid w:val="00D15A3B"/>
    <w:rsid w:val="00D2610C"/>
    <w:rsid w:val="00D45DD3"/>
    <w:rsid w:val="00D54926"/>
    <w:rsid w:val="00D63AC5"/>
    <w:rsid w:val="00D64573"/>
    <w:rsid w:val="00D978E8"/>
    <w:rsid w:val="00DB1D0A"/>
    <w:rsid w:val="00DF4D6A"/>
    <w:rsid w:val="00E023D2"/>
    <w:rsid w:val="00E11AA4"/>
    <w:rsid w:val="00E27E30"/>
    <w:rsid w:val="00E300A3"/>
    <w:rsid w:val="00E44DB8"/>
    <w:rsid w:val="00E450B6"/>
    <w:rsid w:val="00E652D0"/>
    <w:rsid w:val="00E74991"/>
    <w:rsid w:val="00E77210"/>
    <w:rsid w:val="00EB39A9"/>
    <w:rsid w:val="00EB6570"/>
    <w:rsid w:val="00EB739E"/>
    <w:rsid w:val="00EC0401"/>
    <w:rsid w:val="00ED791D"/>
    <w:rsid w:val="00EE1A92"/>
    <w:rsid w:val="00F101FD"/>
    <w:rsid w:val="00F505FA"/>
    <w:rsid w:val="00F65987"/>
    <w:rsid w:val="00F765DA"/>
    <w:rsid w:val="00F97586"/>
    <w:rsid w:val="00FC2C14"/>
    <w:rsid w:val="00FC7857"/>
    <w:rsid w:val="00FD7B9B"/>
    <w:rsid w:val="00FF7737"/>
    <w:rsid w:val="012027E5"/>
    <w:rsid w:val="012A7FD1"/>
    <w:rsid w:val="0193347D"/>
    <w:rsid w:val="02182ED7"/>
    <w:rsid w:val="02AE594E"/>
    <w:rsid w:val="02D94588"/>
    <w:rsid w:val="02ED5556"/>
    <w:rsid w:val="031F2FE0"/>
    <w:rsid w:val="0338765C"/>
    <w:rsid w:val="03411A16"/>
    <w:rsid w:val="037E320E"/>
    <w:rsid w:val="03A63DD1"/>
    <w:rsid w:val="03E17520"/>
    <w:rsid w:val="03E935C1"/>
    <w:rsid w:val="04351154"/>
    <w:rsid w:val="04450B91"/>
    <w:rsid w:val="04830300"/>
    <w:rsid w:val="04C84761"/>
    <w:rsid w:val="054A059B"/>
    <w:rsid w:val="057040C3"/>
    <w:rsid w:val="057C1027"/>
    <w:rsid w:val="05D464C5"/>
    <w:rsid w:val="0659416D"/>
    <w:rsid w:val="066239D0"/>
    <w:rsid w:val="06C620E1"/>
    <w:rsid w:val="06CC22B8"/>
    <w:rsid w:val="06DB44D3"/>
    <w:rsid w:val="06E545E4"/>
    <w:rsid w:val="07B8224B"/>
    <w:rsid w:val="07CD1068"/>
    <w:rsid w:val="08B72085"/>
    <w:rsid w:val="08BF14BF"/>
    <w:rsid w:val="09111375"/>
    <w:rsid w:val="096D3A61"/>
    <w:rsid w:val="0980724A"/>
    <w:rsid w:val="09970B85"/>
    <w:rsid w:val="0A18228E"/>
    <w:rsid w:val="0A6E7E85"/>
    <w:rsid w:val="0A730720"/>
    <w:rsid w:val="0AB8132A"/>
    <w:rsid w:val="0B053649"/>
    <w:rsid w:val="0B7373D0"/>
    <w:rsid w:val="0BE86DF6"/>
    <w:rsid w:val="0CD8573D"/>
    <w:rsid w:val="0CF167FE"/>
    <w:rsid w:val="0D1F45AB"/>
    <w:rsid w:val="0D274BC0"/>
    <w:rsid w:val="0E06277D"/>
    <w:rsid w:val="0E114C1D"/>
    <w:rsid w:val="0E473EA4"/>
    <w:rsid w:val="0E715E49"/>
    <w:rsid w:val="0EAA3109"/>
    <w:rsid w:val="0F2F1A05"/>
    <w:rsid w:val="0F9F5B8A"/>
    <w:rsid w:val="0FEE72E4"/>
    <w:rsid w:val="0FF71C7E"/>
    <w:rsid w:val="10286B5B"/>
    <w:rsid w:val="10CB7D45"/>
    <w:rsid w:val="110D14E8"/>
    <w:rsid w:val="11391015"/>
    <w:rsid w:val="11420373"/>
    <w:rsid w:val="11B74D07"/>
    <w:rsid w:val="120435AB"/>
    <w:rsid w:val="1243159E"/>
    <w:rsid w:val="12FD1B96"/>
    <w:rsid w:val="133815D6"/>
    <w:rsid w:val="137B0950"/>
    <w:rsid w:val="13864CFA"/>
    <w:rsid w:val="13C702B9"/>
    <w:rsid w:val="13CA1BCA"/>
    <w:rsid w:val="13E744B7"/>
    <w:rsid w:val="13F12E74"/>
    <w:rsid w:val="13FA068E"/>
    <w:rsid w:val="142F2027"/>
    <w:rsid w:val="14D8195E"/>
    <w:rsid w:val="14DB7D7A"/>
    <w:rsid w:val="15D16258"/>
    <w:rsid w:val="16121379"/>
    <w:rsid w:val="17704108"/>
    <w:rsid w:val="17770323"/>
    <w:rsid w:val="17862583"/>
    <w:rsid w:val="17C95542"/>
    <w:rsid w:val="17E262D6"/>
    <w:rsid w:val="185331E3"/>
    <w:rsid w:val="18A52816"/>
    <w:rsid w:val="18C129B0"/>
    <w:rsid w:val="18F21DCE"/>
    <w:rsid w:val="190824A1"/>
    <w:rsid w:val="193E2EE9"/>
    <w:rsid w:val="196A665C"/>
    <w:rsid w:val="196C5C41"/>
    <w:rsid w:val="19BA3A30"/>
    <w:rsid w:val="19E953B5"/>
    <w:rsid w:val="19EB6B6D"/>
    <w:rsid w:val="1A3B5354"/>
    <w:rsid w:val="1A774747"/>
    <w:rsid w:val="1A7F2E43"/>
    <w:rsid w:val="1ABC6E97"/>
    <w:rsid w:val="1B0D0CA7"/>
    <w:rsid w:val="1B4E306E"/>
    <w:rsid w:val="1B752555"/>
    <w:rsid w:val="1B7F552F"/>
    <w:rsid w:val="1BB8115B"/>
    <w:rsid w:val="1C4B3EB4"/>
    <w:rsid w:val="1C595207"/>
    <w:rsid w:val="1C872CDB"/>
    <w:rsid w:val="1C9814F6"/>
    <w:rsid w:val="1CEE1D16"/>
    <w:rsid w:val="1DB4365C"/>
    <w:rsid w:val="1DCD2580"/>
    <w:rsid w:val="1DE6181C"/>
    <w:rsid w:val="1DF508EB"/>
    <w:rsid w:val="1E9151BA"/>
    <w:rsid w:val="1E93082D"/>
    <w:rsid w:val="1EF928FA"/>
    <w:rsid w:val="1EFA1543"/>
    <w:rsid w:val="1EFB6843"/>
    <w:rsid w:val="1F2A3E6F"/>
    <w:rsid w:val="1F634469"/>
    <w:rsid w:val="1F9408D4"/>
    <w:rsid w:val="203C74E0"/>
    <w:rsid w:val="20AA0B06"/>
    <w:rsid w:val="20F57A59"/>
    <w:rsid w:val="22162B37"/>
    <w:rsid w:val="22370D00"/>
    <w:rsid w:val="22D622C7"/>
    <w:rsid w:val="23230CA2"/>
    <w:rsid w:val="232B15EA"/>
    <w:rsid w:val="23677917"/>
    <w:rsid w:val="23EB708D"/>
    <w:rsid w:val="241433B5"/>
    <w:rsid w:val="248D10AB"/>
    <w:rsid w:val="25047F39"/>
    <w:rsid w:val="251200BF"/>
    <w:rsid w:val="25164BFC"/>
    <w:rsid w:val="25333A00"/>
    <w:rsid w:val="25972387"/>
    <w:rsid w:val="25BA5ED0"/>
    <w:rsid w:val="26B31444"/>
    <w:rsid w:val="27B852E5"/>
    <w:rsid w:val="27D019DA"/>
    <w:rsid w:val="27DD4CBE"/>
    <w:rsid w:val="27E70AED"/>
    <w:rsid w:val="27E9713C"/>
    <w:rsid w:val="286C7450"/>
    <w:rsid w:val="286E4D4F"/>
    <w:rsid w:val="28854CDE"/>
    <w:rsid w:val="28916443"/>
    <w:rsid w:val="289D0332"/>
    <w:rsid w:val="28DB0637"/>
    <w:rsid w:val="28FE5210"/>
    <w:rsid w:val="291A7C87"/>
    <w:rsid w:val="2973343C"/>
    <w:rsid w:val="29AE169B"/>
    <w:rsid w:val="29C625D1"/>
    <w:rsid w:val="2A1D23D1"/>
    <w:rsid w:val="2A922F77"/>
    <w:rsid w:val="2AE90A12"/>
    <w:rsid w:val="2B14543E"/>
    <w:rsid w:val="2B1B66A0"/>
    <w:rsid w:val="2B811D92"/>
    <w:rsid w:val="2B995D35"/>
    <w:rsid w:val="2C0E46E1"/>
    <w:rsid w:val="2C1D7254"/>
    <w:rsid w:val="2C701DDE"/>
    <w:rsid w:val="2CA33821"/>
    <w:rsid w:val="2CBA410E"/>
    <w:rsid w:val="2D007F46"/>
    <w:rsid w:val="2D7B23E8"/>
    <w:rsid w:val="2D8D0A19"/>
    <w:rsid w:val="2DA1569B"/>
    <w:rsid w:val="2DAF2092"/>
    <w:rsid w:val="2DB05E98"/>
    <w:rsid w:val="2DBC07EA"/>
    <w:rsid w:val="2E020804"/>
    <w:rsid w:val="2EBB0262"/>
    <w:rsid w:val="2EF53AD4"/>
    <w:rsid w:val="2F086CBE"/>
    <w:rsid w:val="2F1105FD"/>
    <w:rsid w:val="2F401F02"/>
    <w:rsid w:val="2F731133"/>
    <w:rsid w:val="2F89369E"/>
    <w:rsid w:val="2FD47B8E"/>
    <w:rsid w:val="300F43F3"/>
    <w:rsid w:val="3027619F"/>
    <w:rsid w:val="305A4537"/>
    <w:rsid w:val="30A9101A"/>
    <w:rsid w:val="31BA67D9"/>
    <w:rsid w:val="3251196A"/>
    <w:rsid w:val="3261459D"/>
    <w:rsid w:val="3273368E"/>
    <w:rsid w:val="32C51A10"/>
    <w:rsid w:val="336254B1"/>
    <w:rsid w:val="33946E7C"/>
    <w:rsid w:val="33D227BE"/>
    <w:rsid w:val="346428F1"/>
    <w:rsid w:val="354736F0"/>
    <w:rsid w:val="35696FCA"/>
    <w:rsid w:val="356F24AB"/>
    <w:rsid w:val="3598340C"/>
    <w:rsid w:val="35DB7A83"/>
    <w:rsid w:val="360B75DE"/>
    <w:rsid w:val="36503998"/>
    <w:rsid w:val="36784F73"/>
    <w:rsid w:val="36B16775"/>
    <w:rsid w:val="36FF21FA"/>
    <w:rsid w:val="3735299E"/>
    <w:rsid w:val="37604B02"/>
    <w:rsid w:val="376E04C1"/>
    <w:rsid w:val="377F14D1"/>
    <w:rsid w:val="37D72D0F"/>
    <w:rsid w:val="38152997"/>
    <w:rsid w:val="38160D83"/>
    <w:rsid w:val="383C7C94"/>
    <w:rsid w:val="384C5E6B"/>
    <w:rsid w:val="38C509BB"/>
    <w:rsid w:val="38D238BE"/>
    <w:rsid w:val="38F1550C"/>
    <w:rsid w:val="38F84951"/>
    <w:rsid w:val="392519A9"/>
    <w:rsid w:val="39337633"/>
    <w:rsid w:val="39360B34"/>
    <w:rsid w:val="393A00F7"/>
    <w:rsid w:val="398A2FBF"/>
    <w:rsid w:val="39D47E47"/>
    <w:rsid w:val="39DE598C"/>
    <w:rsid w:val="3A384BD2"/>
    <w:rsid w:val="3A7A579B"/>
    <w:rsid w:val="3A8E0674"/>
    <w:rsid w:val="3B2C1824"/>
    <w:rsid w:val="3B3A40FF"/>
    <w:rsid w:val="3B56119D"/>
    <w:rsid w:val="3BF400C8"/>
    <w:rsid w:val="3C4A51AE"/>
    <w:rsid w:val="3C7F4205"/>
    <w:rsid w:val="3D331AEB"/>
    <w:rsid w:val="3D3B137A"/>
    <w:rsid w:val="3DB31EAF"/>
    <w:rsid w:val="3DBB0851"/>
    <w:rsid w:val="3DE43692"/>
    <w:rsid w:val="3DFE10EB"/>
    <w:rsid w:val="3E3A01F6"/>
    <w:rsid w:val="3F012FAC"/>
    <w:rsid w:val="3F627AD7"/>
    <w:rsid w:val="3FE128B3"/>
    <w:rsid w:val="40571BE2"/>
    <w:rsid w:val="41106060"/>
    <w:rsid w:val="41122B1D"/>
    <w:rsid w:val="41540569"/>
    <w:rsid w:val="41AE75CF"/>
    <w:rsid w:val="42030A5E"/>
    <w:rsid w:val="42342ED9"/>
    <w:rsid w:val="42864D18"/>
    <w:rsid w:val="42A174AF"/>
    <w:rsid w:val="42DE4798"/>
    <w:rsid w:val="42ED61AB"/>
    <w:rsid w:val="42F41E97"/>
    <w:rsid w:val="432307B8"/>
    <w:rsid w:val="43285D3E"/>
    <w:rsid w:val="438A6A34"/>
    <w:rsid w:val="43AE0D28"/>
    <w:rsid w:val="43C36B58"/>
    <w:rsid w:val="43C37B7F"/>
    <w:rsid w:val="44446C38"/>
    <w:rsid w:val="44CD30D2"/>
    <w:rsid w:val="45073B8E"/>
    <w:rsid w:val="45090972"/>
    <w:rsid w:val="45154265"/>
    <w:rsid w:val="452A10CB"/>
    <w:rsid w:val="45392664"/>
    <w:rsid w:val="455877D6"/>
    <w:rsid w:val="45965BFB"/>
    <w:rsid w:val="45B65C33"/>
    <w:rsid w:val="45CF7D87"/>
    <w:rsid w:val="45DF5608"/>
    <w:rsid w:val="45F71E57"/>
    <w:rsid w:val="460E53F7"/>
    <w:rsid w:val="461D0C62"/>
    <w:rsid w:val="46396545"/>
    <w:rsid w:val="46397269"/>
    <w:rsid w:val="464858DB"/>
    <w:rsid w:val="467B6165"/>
    <w:rsid w:val="468509FA"/>
    <w:rsid w:val="470B1C8F"/>
    <w:rsid w:val="472F032B"/>
    <w:rsid w:val="4759630F"/>
    <w:rsid w:val="4766336A"/>
    <w:rsid w:val="48272B1D"/>
    <w:rsid w:val="48372BF2"/>
    <w:rsid w:val="48437A38"/>
    <w:rsid w:val="486815A6"/>
    <w:rsid w:val="495D5195"/>
    <w:rsid w:val="497C7439"/>
    <w:rsid w:val="49A43446"/>
    <w:rsid w:val="49CF7426"/>
    <w:rsid w:val="4A177EA3"/>
    <w:rsid w:val="4A501080"/>
    <w:rsid w:val="4AC01CF4"/>
    <w:rsid w:val="4B6409A6"/>
    <w:rsid w:val="4BCE6F2C"/>
    <w:rsid w:val="4BCF7A8C"/>
    <w:rsid w:val="4C0C542C"/>
    <w:rsid w:val="4C3254F2"/>
    <w:rsid w:val="4C330A78"/>
    <w:rsid w:val="4C7A326B"/>
    <w:rsid w:val="4CB608EF"/>
    <w:rsid w:val="4CE4536E"/>
    <w:rsid w:val="4D387518"/>
    <w:rsid w:val="4D4D171C"/>
    <w:rsid w:val="4D574BA5"/>
    <w:rsid w:val="4D7D19DA"/>
    <w:rsid w:val="4D92310A"/>
    <w:rsid w:val="4DC83891"/>
    <w:rsid w:val="4DCB5EB1"/>
    <w:rsid w:val="4DD41026"/>
    <w:rsid w:val="4E2637A0"/>
    <w:rsid w:val="4E7B76FB"/>
    <w:rsid w:val="4EAA26CE"/>
    <w:rsid w:val="4EFC5202"/>
    <w:rsid w:val="4F2E6E63"/>
    <w:rsid w:val="4F310768"/>
    <w:rsid w:val="4F3F67AD"/>
    <w:rsid w:val="4F730074"/>
    <w:rsid w:val="4FB05ACA"/>
    <w:rsid w:val="4FE60C65"/>
    <w:rsid w:val="50047BC4"/>
    <w:rsid w:val="50151C18"/>
    <w:rsid w:val="50501A73"/>
    <w:rsid w:val="50C86E43"/>
    <w:rsid w:val="50EC1D9C"/>
    <w:rsid w:val="51633648"/>
    <w:rsid w:val="51763123"/>
    <w:rsid w:val="51771AB1"/>
    <w:rsid w:val="517C1327"/>
    <w:rsid w:val="518101E7"/>
    <w:rsid w:val="51CE0CDF"/>
    <w:rsid w:val="5200219D"/>
    <w:rsid w:val="52004F3D"/>
    <w:rsid w:val="520A2802"/>
    <w:rsid w:val="520F08EA"/>
    <w:rsid w:val="52555B21"/>
    <w:rsid w:val="528372C3"/>
    <w:rsid w:val="52A12DEB"/>
    <w:rsid w:val="52BC6F2E"/>
    <w:rsid w:val="52CF40D5"/>
    <w:rsid w:val="52F221D3"/>
    <w:rsid w:val="52FD02FB"/>
    <w:rsid w:val="530D14FD"/>
    <w:rsid w:val="530E1436"/>
    <w:rsid w:val="533B1B4E"/>
    <w:rsid w:val="53825DE0"/>
    <w:rsid w:val="53A016C5"/>
    <w:rsid w:val="53A85102"/>
    <w:rsid w:val="53DB3CC4"/>
    <w:rsid w:val="53EE2233"/>
    <w:rsid w:val="53EF10D1"/>
    <w:rsid w:val="541671D1"/>
    <w:rsid w:val="54637CCA"/>
    <w:rsid w:val="546C38E1"/>
    <w:rsid w:val="5491438F"/>
    <w:rsid w:val="54DD6853"/>
    <w:rsid w:val="551524FA"/>
    <w:rsid w:val="55320BD0"/>
    <w:rsid w:val="55360B8F"/>
    <w:rsid w:val="554A267C"/>
    <w:rsid w:val="556C0CE5"/>
    <w:rsid w:val="55D07572"/>
    <w:rsid w:val="55F36710"/>
    <w:rsid w:val="560F038B"/>
    <w:rsid w:val="56411ADD"/>
    <w:rsid w:val="567C73C4"/>
    <w:rsid w:val="568831DB"/>
    <w:rsid w:val="56A31EE4"/>
    <w:rsid w:val="57AA2DFF"/>
    <w:rsid w:val="58277E28"/>
    <w:rsid w:val="582A2527"/>
    <w:rsid w:val="58427139"/>
    <w:rsid w:val="58687E9E"/>
    <w:rsid w:val="587227C6"/>
    <w:rsid w:val="58800428"/>
    <w:rsid w:val="58CF12EE"/>
    <w:rsid w:val="58D7636E"/>
    <w:rsid w:val="5926749B"/>
    <w:rsid w:val="59385AFE"/>
    <w:rsid w:val="59DF76D7"/>
    <w:rsid w:val="59F705E0"/>
    <w:rsid w:val="5A3D48AA"/>
    <w:rsid w:val="5A6B39D2"/>
    <w:rsid w:val="5A72354E"/>
    <w:rsid w:val="5B0641C1"/>
    <w:rsid w:val="5B192429"/>
    <w:rsid w:val="5B3E6680"/>
    <w:rsid w:val="5B74581B"/>
    <w:rsid w:val="5BC32D48"/>
    <w:rsid w:val="5BEF30CB"/>
    <w:rsid w:val="5CE211C1"/>
    <w:rsid w:val="5D060932"/>
    <w:rsid w:val="5D0B2591"/>
    <w:rsid w:val="5D472117"/>
    <w:rsid w:val="5DDC7A8A"/>
    <w:rsid w:val="5E282A54"/>
    <w:rsid w:val="5E2F0761"/>
    <w:rsid w:val="5E306C71"/>
    <w:rsid w:val="5E4044BD"/>
    <w:rsid w:val="5E8E0B61"/>
    <w:rsid w:val="5EC50482"/>
    <w:rsid w:val="5ED258EC"/>
    <w:rsid w:val="5EE74938"/>
    <w:rsid w:val="5EE815B2"/>
    <w:rsid w:val="5EFF3EBF"/>
    <w:rsid w:val="5F121AD3"/>
    <w:rsid w:val="5F64242D"/>
    <w:rsid w:val="5F711D13"/>
    <w:rsid w:val="5F745878"/>
    <w:rsid w:val="5F7E0BB9"/>
    <w:rsid w:val="5F8B3F6A"/>
    <w:rsid w:val="5FF648D9"/>
    <w:rsid w:val="5FF92B75"/>
    <w:rsid w:val="602C03D0"/>
    <w:rsid w:val="603847F0"/>
    <w:rsid w:val="60771CEC"/>
    <w:rsid w:val="607E1528"/>
    <w:rsid w:val="60A65D8A"/>
    <w:rsid w:val="60A80A19"/>
    <w:rsid w:val="60BD164D"/>
    <w:rsid w:val="60E87AF4"/>
    <w:rsid w:val="6217446D"/>
    <w:rsid w:val="62361A79"/>
    <w:rsid w:val="624F10F7"/>
    <w:rsid w:val="629B7F14"/>
    <w:rsid w:val="62A0655F"/>
    <w:rsid w:val="63172AE9"/>
    <w:rsid w:val="64064879"/>
    <w:rsid w:val="64B360BE"/>
    <w:rsid w:val="64B92D4E"/>
    <w:rsid w:val="64C01EB3"/>
    <w:rsid w:val="64C94467"/>
    <w:rsid w:val="64CC6AAA"/>
    <w:rsid w:val="64D26F2A"/>
    <w:rsid w:val="64D8755F"/>
    <w:rsid w:val="65040DC9"/>
    <w:rsid w:val="65305121"/>
    <w:rsid w:val="65AD5263"/>
    <w:rsid w:val="65E16585"/>
    <w:rsid w:val="666F4DD7"/>
    <w:rsid w:val="66DB60D9"/>
    <w:rsid w:val="671C6C20"/>
    <w:rsid w:val="67450FFB"/>
    <w:rsid w:val="67695167"/>
    <w:rsid w:val="677D60B3"/>
    <w:rsid w:val="67C97321"/>
    <w:rsid w:val="67F82E99"/>
    <w:rsid w:val="680514B4"/>
    <w:rsid w:val="68204F85"/>
    <w:rsid w:val="684F76FE"/>
    <w:rsid w:val="68B57421"/>
    <w:rsid w:val="69132B90"/>
    <w:rsid w:val="69557B62"/>
    <w:rsid w:val="695C064A"/>
    <w:rsid w:val="69777D5D"/>
    <w:rsid w:val="69BC5F84"/>
    <w:rsid w:val="69D45BBA"/>
    <w:rsid w:val="69D63F27"/>
    <w:rsid w:val="69F04FE9"/>
    <w:rsid w:val="6ABE6E21"/>
    <w:rsid w:val="6AC45DE2"/>
    <w:rsid w:val="6AC655A6"/>
    <w:rsid w:val="6AFB0F61"/>
    <w:rsid w:val="6AFC7591"/>
    <w:rsid w:val="6B0B511A"/>
    <w:rsid w:val="6BA72C61"/>
    <w:rsid w:val="6BE544D2"/>
    <w:rsid w:val="6BEF2281"/>
    <w:rsid w:val="6C122558"/>
    <w:rsid w:val="6C3A2007"/>
    <w:rsid w:val="6C6F1216"/>
    <w:rsid w:val="6D076DF0"/>
    <w:rsid w:val="6D2E2CC1"/>
    <w:rsid w:val="6D760D23"/>
    <w:rsid w:val="6D801F7D"/>
    <w:rsid w:val="6DDA70B9"/>
    <w:rsid w:val="6DEE292C"/>
    <w:rsid w:val="6E0C43BB"/>
    <w:rsid w:val="6E635BD9"/>
    <w:rsid w:val="6E82642B"/>
    <w:rsid w:val="6F2A4AF9"/>
    <w:rsid w:val="6F6C039B"/>
    <w:rsid w:val="6F8A0316"/>
    <w:rsid w:val="7057415E"/>
    <w:rsid w:val="70F3716D"/>
    <w:rsid w:val="70FE5B15"/>
    <w:rsid w:val="71E20CB1"/>
    <w:rsid w:val="71ED1E0E"/>
    <w:rsid w:val="71F0513B"/>
    <w:rsid w:val="72132BB6"/>
    <w:rsid w:val="72AE6235"/>
    <w:rsid w:val="72B00212"/>
    <w:rsid w:val="73662B6E"/>
    <w:rsid w:val="737E0DA8"/>
    <w:rsid w:val="74300984"/>
    <w:rsid w:val="75667DAB"/>
    <w:rsid w:val="75853D6B"/>
    <w:rsid w:val="75A31161"/>
    <w:rsid w:val="76082C81"/>
    <w:rsid w:val="766E28BC"/>
    <w:rsid w:val="770C2D36"/>
    <w:rsid w:val="77196926"/>
    <w:rsid w:val="77216629"/>
    <w:rsid w:val="77277B70"/>
    <w:rsid w:val="77293424"/>
    <w:rsid w:val="773A5F47"/>
    <w:rsid w:val="77646917"/>
    <w:rsid w:val="779A1F0C"/>
    <w:rsid w:val="77B209D7"/>
    <w:rsid w:val="77B355F8"/>
    <w:rsid w:val="783C11A6"/>
    <w:rsid w:val="78544C23"/>
    <w:rsid w:val="791E4613"/>
    <w:rsid w:val="792E0B0D"/>
    <w:rsid w:val="796571A8"/>
    <w:rsid w:val="79A60A2D"/>
    <w:rsid w:val="79BA2D96"/>
    <w:rsid w:val="7A903862"/>
    <w:rsid w:val="7AB07713"/>
    <w:rsid w:val="7AB2232C"/>
    <w:rsid w:val="7AC2652D"/>
    <w:rsid w:val="7B363FC6"/>
    <w:rsid w:val="7B5A1119"/>
    <w:rsid w:val="7BC576B6"/>
    <w:rsid w:val="7BCD4CFF"/>
    <w:rsid w:val="7BD81F17"/>
    <w:rsid w:val="7C210437"/>
    <w:rsid w:val="7C6C1717"/>
    <w:rsid w:val="7C9B5377"/>
    <w:rsid w:val="7CFA3BD3"/>
    <w:rsid w:val="7D523E01"/>
    <w:rsid w:val="7D9954F9"/>
    <w:rsid w:val="7DB46378"/>
    <w:rsid w:val="7E5E136E"/>
    <w:rsid w:val="7E6E7206"/>
    <w:rsid w:val="7EBE4101"/>
    <w:rsid w:val="7F205B29"/>
    <w:rsid w:val="7FF13F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3">
    <w:name w:val="annotation text"/>
    <w:basedOn w:val="1"/>
    <w:link w:val="17"/>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spacing w:before="100" w:beforeAutospacing="1" w:after="100" w:afterAutospacing="1"/>
      <w:jc w:val="left"/>
    </w:pPr>
    <w:rPr>
      <w:rFonts w:cs="Times New Roman"/>
      <w:kern w:val="0"/>
      <w:sz w:val="24"/>
    </w:rPr>
  </w:style>
  <w:style w:type="paragraph" w:styleId="7">
    <w:name w:val="annotation subject"/>
    <w:basedOn w:val="3"/>
    <w:next w:val="3"/>
    <w:link w:val="18"/>
    <w:qFormat/>
    <w:uiPriority w:val="0"/>
    <w:rPr>
      <w:b/>
      <w:bCs/>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qFormat/>
    <w:uiPriority w:val="0"/>
    <w:rPr>
      <w:b/>
    </w:rPr>
  </w:style>
  <w:style w:type="character" w:styleId="12">
    <w:name w:val="Emphasis"/>
    <w:basedOn w:val="10"/>
    <w:qFormat/>
    <w:uiPriority w:val="0"/>
    <w:rPr>
      <w:i/>
    </w:rPr>
  </w:style>
  <w:style w:type="character" w:styleId="13">
    <w:name w:val="annotation reference"/>
    <w:basedOn w:val="10"/>
    <w:qFormat/>
    <w:uiPriority w:val="0"/>
    <w:rPr>
      <w:sz w:val="21"/>
      <w:szCs w:val="21"/>
    </w:rPr>
  </w:style>
  <w:style w:type="paragraph" w:customStyle="1" w:styleId="14">
    <w:name w:val="公文_1级标题"/>
    <w:basedOn w:val="1"/>
    <w:next w:val="1"/>
    <w:qFormat/>
    <w:uiPriority w:val="0"/>
    <w:pPr>
      <w:spacing w:line="600" w:lineRule="exact"/>
      <w:ind w:firstLine="200" w:firstLineChars="200"/>
    </w:pPr>
    <w:rPr>
      <w:rFonts w:ascii="Times New Roman" w:hAnsi="Times New Roman" w:eastAsia="黑体"/>
      <w:sz w:val="32"/>
      <w:szCs w:val="22"/>
    </w:rPr>
  </w:style>
  <w:style w:type="paragraph" w:customStyle="1" w:styleId="15">
    <w:name w:val="G_公文_2级标题"/>
    <w:basedOn w:val="1"/>
    <w:next w:val="1"/>
    <w:qFormat/>
    <w:uiPriority w:val="0"/>
    <w:pPr>
      <w:spacing w:line="600" w:lineRule="exact"/>
      <w:ind w:firstLine="200" w:firstLineChars="200"/>
      <w:outlineLvl w:val="1"/>
    </w:pPr>
    <w:rPr>
      <w:rFonts w:ascii="Times New Roman" w:hAnsi="Times New Roman" w:eastAsia="楷体_GB2312"/>
      <w:sz w:val="32"/>
      <w:szCs w:val="22"/>
    </w:rPr>
  </w:style>
  <w:style w:type="paragraph" w:customStyle="1" w:styleId="16">
    <w:name w:val="修订1"/>
    <w:hidden/>
    <w:unhideWhenUsed/>
    <w:qFormat/>
    <w:uiPriority w:val="99"/>
    <w:pPr>
      <w:spacing w:after="160" w:line="278" w:lineRule="auto"/>
    </w:pPr>
    <w:rPr>
      <w:rFonts w:asciiTheme="minorHAnsi" w:hAnsiTheme="minorHAnsi" w:eastAsiaTheme="minorEastAsia" w:cstheme="minorBidi"/>
      <w:kern w:val="2"/>
      <w:sz w:val="21"/>
      <w:szCs w:val="24"/>
      <w:lang w:val="en-US" w:eastAsia="zh-CN" w:bidi="ar-SA"/>
    </w:rPr>
  </w:style>
  <w:style w:type="character" w:customStyle="1" w:styleId="17">
    <w:name w:val="批注文字 Char"/>
    <w:basedOn w:val="10"/>
    <w:link w:val="3"/>
    <w:qFormat/>
    <w:uiPriority w:val="0"/>
    <w:rPr>
      <w:rFonts w:asciiTheme="minorHAnsi" w:hAnsiTheme="minorHAnsi" w:eastAsiaTheme="minorEastAsia" w:cstheme="minorBidi"/>
      <w:kern w:val="2"/>
      <w:sz w:val="21"/>
      <w:szCs w:val="24"/>
    </w:rPr>
  </w:style>
  <w:style w:type="character" w:customStyle="1" w:styleId="18">
    <w:name w:val="批注主题 Char"/>
    <w:basedOn w:val="17"/>
    <w:link w:val="7"/>
    <w:qFormat/>
    <w:uiPriority w:val="0"/>
    <w:rPr>
      <w:rFonts w:asciiTheme="minorHAnsi" w:hAnsiTheme="minorHAnsi" w:eastAsiaTheme="minorEastAsia" w:cstheme="minorBidi"/>
      <w:b/>
      <w:bCs/>
      <w:kern w:val="2"/>
      <w:sz w:val="21"/>
      <w:szCs w:val="24"/>
    </w:rPr>
  </w:style>
  <w:style w:type="paragraph" w:customStyle="1" w:styleId="19">
    <w:name w:val="Revision"/>
    <w:hidden/>
    <w:unhideWhenUsed/>
    <w:qFormat/>
    <w:uiPriority w:val="99"/>
    <w:pPr>
      <w:spacing w:after="0" w:line="240" w:lineRule="auto"/>
    </w:pPr>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4978</Words>
  <Characters>5001</Characters>
  <Lines>35</Lines>
  <Paragraphs>10</Paragraphs>
  <TotalTime>35</TotalTime>
  <ScaleCrop>false</ScaleCrop>
  <LinksUpToDate>false</LinksUpToDate>
  <CharactersWithSpaces>5001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2025-09-25T09:08:00Z</dcterms:created>
  <dc:creator>Erick Du</dc:creator>
  <cp:lastModifiedBy>刘晓龙</cp:lastModifiedBy>
  <cp:lastPrinted>2025-09-25T00:29:00Z</cp:lastPrinted>
  <dcterms:modified xsi:type="dcterms:W3CDTF">2025-12-05T01:35:38Z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8F1E86D4E5DA42FA8B0924E9ED79C569_13</vt:lpwstr>
  </property>
  <property fmtid="{D5CDD505-2E9C-101B-9397-08002B2CF9AE}" pid="4" name="KSOTemplateDocerSaveRecord">
    <vt:lpwstr>eyJoZGlkIjoiYTk1MGQ3ZWY2OGRhODBlMTQyZTAxMzlmNDNmODg2ZjciLCJ1c2VySWQiOiI3MTY4MzExNjUifQ==</vt:lpwstr>
  </property>
</Properties>
</file>